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651F8" w14:textId="77777777" w:rsidR="00986B6E" w:rsidRPr="008A0BF6" w:rsidRDefault="00986B6E" w:rsidP="001C1F69">
      <w:pPr>
        <w:pStyle w:val="ReportTitle"/>
        <w:rPr>
          <w:sz w:val="24"/>
        </w:rPr>
      </w:pPr>
    </w:p>
    <w:p w14:paraId="17335C8E" w14:textId="77777777" w:rsidR="00986B6E" w:rsidRDefault="00986B6E" w:rsidP="001C1F69">
      <w:pPr>
        <w:pStyle w:val="ReportTitle"/>
        <w:rPr>
          <w:sz w:val="24"/>
        </w:rPr>
      </w:pPr>
    </w:p>
    <w:p w14:paraId="287275AD" w14:textId="77777777" w:rsidR="008A0BF6" w:rsidRDefault="008A0BF6" w:rsidP="001C1F69">
      <w:pPr>
        <w:pStyle w:val="ReportTitle"/>
        <w:rPr>
          <w:sz w:val="24"/>
        </w:rPr>
      </w:pPr>
    </w:p>
    <w:p w14:paraId="4A192944" w14:textId="77777777" w:rsidR="008A0BF6" w:rsidRDefault="008A0BF6" w:rsidP="001C1F69">
      <w:pPr>
        <w:pStyle w:val="ReportTitle"/>
        <w:rPr>
          <w:sz w:val="24"/>
        </w:rPr>
      </w:pPr>
    </w:p>
    <w:p w14:paraId="4250F11E" w14:textId="77777777" w:rsidR="008A0BF6" w:rsidRPr="008A0BF6" w:rsidRDefault="008A0BF6" w:rsidP="001C1F69">
      <w:pPr>
        <w:pStyle w:val="ReportTitle"/>
        <w:rPr>
          <w:sz w:val="24"/>
        </w:rPr>
      </w:pPr>
    </w:p>
    <w:p w14:paraId="363ED674" w14:textId="77777777" w:rsidR="00BE78FE" w:rsidRDefault="00986B6E" w:rsidP="001C1F69">
      <w:pPr>
        <w:pStyle w:val="ReportTitle"/>
      </w:pPr>
      <w:r>
        <w:rPr>
          <w:noProof/>
          <w:lang w:eastAsia="en-GB"/>
        </w:rPr>
        <mc:AlternateContent>
          <mc:Choice Requires="wps">
            <w:drawing>
              <wp:anchor distT="0" distB="0" distL="114300" distR="114300" simplePos="0" relativeHeight="251659264" behindDoc="0" locked="0" layoutInCell="1" allowOverlap="1" wp14:anchorId="671DCF75" wp14:editId="7DAC97AA">
                <wp:simplePos x="0" y="0"/>
                <wp:positionH relativeFrom="column">
                  <wp:posOffset>8409940</wp:posOffset>
                </wp:positionH>
                <wp:positionV relativeFrom="paragraph">
                  <wp:posOffset>135255</wp:posOffset>
                </wp:positionV>
                <wp:extent cx="1596390" cy="32194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96390" cy="321945"/>
                        </a:xfrm>
                        <a:prstGeom prst="rect">
                          <a:avLst/>
                        </a:prstGeom>
                        <a:noFill/>
                        <a:ln w="6350">
                          <a:noFill/>
                        </a:ln>
                      </wps:spPr>
                      <wps:txbx>
                        <w:txbxContent>
                          <w:p w14:paraId="686CBA26" w14:textId="188013F5" w:rsidR="00EF5C25" w:rsidRPr="0053590C" w:rsidRDefault="00EF5C25">
                            <w:pPr>
                              <w:rPr>
                                <w:color w:val="4B4746" w:themeColor="text1"/>
                              </w:rPr>
                            </w:pPr>
                            <w:r w:rsidRPr="0053590C">
                              <w:rPr>
                                <w:color w:val="4B4746" w:themeColor="text1"/>
                              </w:rPr>
                              <w:fldChar w:fldCharType="begin"/>
                            </w:r>
                            <w:r w:rsidRPr="0053590C">
                              <w:rPr>
                                <w:color w:val="4B4746" w:themeColor="text1"/>
                              </w:rPr>
                              <w:instrText xml:space="preserve"> DATE \@ "d MMMM yyyy" </w:instrText>
                            </w:r>
                            <w:r w:rsidRPr="0053590C">
                              <w:rPr>
                                <w:color w:val="4B4746" w:themeColor="text1"/>
                              </w:rPr>
                              <w:fldChar w:fldCharType="separate"/>
                            </w:r>
                            <w:r w:rsidR="0034647A">
                              <w:rPr>
                                <w:noProof/>
                                <w:color w:val="4B4746" w:themeColor="text1"/>
                              </w:rPr>
                              <w:t>2 August 2023</w:t>
                            </w:r>
                            <w:r w:rsidRPr="0053590C">
                              <w:rPr>
                                <w:color w:val="4B4746" w:themeColor="text1"/>
                              </w:rPr>
                              <w:fldChar w:fldCharType="end"/>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type w14:anchorId="671DCF75" id="_x0000_t202" coordsize="21600,21600" o:spt="202" path="m,l,21600r21600,l21600,xe">
                <v:stroke joinstyle="miter"/>
                <v:path gradientshapeok="t" o:connecttype="rect"/>
              </v:shapetype>
              <v:shape id="Text Box 1" o:spid="_x0000_s1026" type="#_x0000_t202" style="position:absolute;margin-left:662.2pt;margin-top:10.65pt;width:125.7pt;height:25.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" filled="f" stroked="f" strokeweight=".5pt">
                <v:textbox inset="0">
                  <w:txbxContent>
                    <w:p w14:paraId="686CBA26" w14:textId="188013F5" w:rsidR="00EF5C25" w:rsidRPr="0053590C" w:rsidRDefault="00EF5C25">
                      <w:pPr>
                        <w:rPr>
                          <w:color w:val="4B4746" w:themeColor="text1"/>
                        </w:rPr>
                      </w:pPr>
                      <w:r w:rsidRPr="0053590C">
                        <w:rPr>
                          <w:color w:val="4B4746" w:themeColor="text1"/>
                        </w:rPr>
                        <w:fldChar w:fldCharType="begin"/>
                      </w:r>
                      <w:r w:rsidRPr="0053590C">
                        <w:rPr>
                          <w:color w:val="4B4746" w:themeColor="text1"/>
                        </w:rPr>
                        <w:instrText xml:space="preserve"> DATE \@ "d MMMM yyyy" </w:instrText>
                      </w:r>
                      <w:r w:rsidRPr="0053590C">
                        <w:rPr>
                          <w:color w:val="4B4746" w:themeColor="text1"/>
                        </w:rPr>
                        <w:fldChar w:fldCharType="separate"/>
                      </w:r>
                      <w:r w:rsidR="0034647A">
                        <w:rPr>
                          <w:noProof/>
                          <w:color w:val="4B4746" w:themeColor="text1"/>
                        </w:rPr>
                        <w:t>2 August 2023</w:t>
                      </w:r>
                      <w:r w:rsidRPr="0053590C">
                        <w:rPr>
                          <w:color w:val="4B4746" w:themeColor="text1"/>
                        </w:rPr>
                        <w:fldChar w:fldCharType="end"/>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1433EA1" wp14:editId="6BC699A7">
                <wp:simplePos x="0" y="0"/>
                <wp:positionH relativeFrom="column">
                  <wp:posOffset>8409940</wp:posOffset>
                </wp:positionH>
                <wp:positionV relativeFrom="paragraph">
                  <wp:posOffset>456957</wp:posOffset>
                </wp:positionV>
                <wp:extent cx="1595755" cy="939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95755" cy="939800"/>
                        </a:xfrm>
                        <a:prstGeom prst="rect">
                          <a:avLst/>
                        </a:prstGeom>
                        <a:noFill/>
                        <a:ln w="6350">
                          <a:noFill/>
                        </a:ln>
                      </wps:spPr>
                      <wps:txbx>
                        <w:txbxContent>
                          <w:p w14:paraId="3E27E717" w14:textId="77777777" w:rsidR="00EF5C25" w:rsidRPr="0053590C" w:rsidRDefault="00EF5C25">
                            <w:pPr>
                              <w:rPr>
                                <w:color w:val="4B4746" w:themeColor="text1"/>
                              </w:rPr>
                            </w:pPr>
                            <w:r w:rsidRPr="0053590C">
                              <w:rPr>
                                <w:color w:val="4B4746" w:themeColor="text1"/>
                              </w:rPr>
                              <w:t>Your ref:</w:t>
                            </w:r>
                          </w:p>
                          <w:p w14:paraId="1BD93DF1" w14:textId="77777777" w:rsidR="00EF5C25" w:rsidRPr="0053590C" w:rsidRDefault="00EF5C25">
                            <w:pPr>
                              <w:rPr>
                                <w:color w:val="4B4746" w:themeColor="text1"/>
                              </w:rPr>
                            </w:pPr>
                            <w:r w:rsidRPr="0053590C">
                              <w:rPr>
                                <w:color w:val="4B4746" w:themeColor="text1"/>
                              </w:rPr>
                              <w:t xml:space="preserve">Our ref: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33EA1" id="Text Box 2" o:spid="_x0000_s1027" type="#_x0000_t202" style="position:absolute;margin-left:662.2pt;margin-top:36pt;width:125.65pt;height: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" filled="f" stroked="f" strokeweight=".5pt">
                <v:textbox inset="0">
                  <w:txbxContent>
                    <w:p w14:paraId="3E27E717" w14:textId="77777777" w:rsidR="00EF5C25" w:rsidRPr="0053590C" w:rsidRDefault="00EF5C25">
                      <w:pPr>
                        <w:rPr>
                          <w:color w:val="4B4746" w:themeColor="text1"/>
                        </w:rPr>
                      </w:pPr>
                      <w:r w:rsidRPr="0053590C">
                        <w:rPr>
                          <w:color w:val="4B4746" w:themeColor="text1"/>
                        </w:rPr>
                        <w:t>Your ref:</w:t>
                      </w:r>
                    </w:p>
                    <w:p w14:paraId="1BD93DF1" w14:textId="77777777" w:rsidR="00EF5C25" w:rsidRPr="0053590C" w:rsidRDefault="00EF5C25">
                      <w:pPr>
                        <w:rPr>
                          <w:color w:val="4B4746" w:themeColor="text1"/>
                        </w:rPr>
                      </w:pPr>
                      <w:r w:rsidRPr="0053590C">
                        <w:rPr>
                          <w:color w:val="4B4746" w:themeColor="text1"/>
                        </w:rPr>
                        <w:t xml:space="preserve">Our ref: </w:t>
                      </w:r>
                    </w:p>
                  </w:txbxContent>
                </v:textbox>
              </v:shape>
            </w:pict>
          </mc:Fallback>
        </mc:AlternateContent>
      </w:r>
      <w:r w:rsidR="000F6EFE">
        <w:fldChar w:fldCharType="begin">
          <w:ffData>
            <w:name w:val="Text2"/>
            <w:enabled/>
            <w:calcOnExit w:val="0"/>
            <w:textInput>
              <w:default w:val="Going Concern questionnaire"/>
            </w:textInput>
          </w:ffData>
        </w:fldChar>
      </w:r>
      <w:bookmarkStart w:id="0" w:name="Text2"/>
      <w:r w:rsidR="000F6EFE">
        <w:instrText xml:space="preserve"> FORMTEXT </w:instrText>
      </w:r>
      <w:r w:rsidR="000F6EFE">
        <w:fldChar w:fldCharType="separate"/>
      </w:r>
      <w:r w:rsidR="000F6EFE">
        <w:rPr>
          <w:noProof/>
        </w:rPr>
        <w:t>Going Concern questionnaire</w:t>
      </w:r>
      <w:r w:rsidR="000F6EFE">
        <w:fldChar w:fldCharType="end"/>
      </w:r>
      <w:bookmarkEnd w:id="0"/>
      <w:r w:rsidR="003F7378">
        <w:t xml:space="preserve"> </w:t>
      </w:r>
    </w:p>
    <w:p w14:paraId="23B5EFB7" w14:textId="77777777" w:rsidR="00070C61" w:rsidRDefault="003F7378" w:rsidP="001C1F69">
      <w:pPr>
        <w:pStyle w:val="ReportSubtitle"/>
      </w:pPr>
      <w:r>
        <w:fldChar w:fldCharType="begin">
          <w:ffData>
            <w:name w:val="Text3"/>
            <w:enabled/>
            <w:calcOnExit w:val="0"/>
            <w:textInput>
              <w:default w:val="Client name"/>
            </w:textInput>
          </w:ffData>
        </w:fldChar>
      </w:r>
      <w:bookmarkStart w:id="1" w:name="Text3"/>
      <w:r>
        <w:instrText xml:space="preserve"> FORMTEXT </w:instrText>
      </w:r>
      <w:r>
        <w:fldChar w:fldCharType="separate"/>
      </w:r>
      <w:r>
        <w:rPr>
          <w:noProof/>
        </w:rPr>
        <w:t>Client name</w:t>
      </w:r>
      <w:r>
        <w:fldChar w:fldCharType="end"/>
      </w:r>
      <w:bookmarkEnd w:id="1"/>
    </w:p>
    <w:p w14:paraId="15BA1593" w14:textId="77777777" w:rsidR="00BE78FE" w:rsidRDefault="00BE78FE" w:rsidP="00BB2634">
      <w:pPr>
        <w:pStyle w:val="ReportAdditionalInfo"/>
      </w:pPr>
    </w:p>
    <w:p w14:paraId="1EDA76EE" w14:textId="77777777" w:rsidR="00BE78FE" w:rsidRDefault="00BE78FE" w:rsidP="00BB2634">
      <w:pPr>
        <w:pStyle w:val="ReportAdditionalInfo"/>
      </w:pPr>
    </w:p>
    <w:p w14:paraId="3E1149B9" w14:textId="77777777" w:rsidR="00BE78FE" w:rsidRDefault="00BE78FE" w:rsidP="00BB2634">
      <w:pPr>
        <w:pStyle w:val="ReportAdditionalInfo"/>
      </w:pPr>
    </w:p>
    <w:p w14:paraId="38462010" w14:textId="77777777" w:rsidR="00070C61" w:rsidRDefault="003F7378" w:rsidP="00BB2634">
      <w:pPr>
        <w:pStyle w:val="ReportAdditionalInfo"/>
      </w:pPr>
      <w:r>
        <w:fldChar w:fldCharType="begin">
          <w:ffData>
            <w:name w:val="Text1"/>
            <w:enabled/>
            <w:calcOnExit w:val="0"/>
            <w:textInput>
              <w:default w:val="Period ended:  "/>
            </w:textInput>
          </w:ffData>
        </w:fldChar>
      </w:r>
      <w:bookmarkStart w:id="2" w:name="Text1"/>
      <w:r>
        <w:instrText xml:space="preserve"> FORMTEXT </w:instrText>
      </w:r>
      <w:r>
        <w:fldChar w:fldCharType="separate"/>
      </w:r>
      <w:r>
        <w:rPr>
          <w:noProof/>
        </w:rPr>
        <w:t xml:space="preserve">Period ended:  </w:t>
      </w:r>
      <w:r>
        <w:fldChar w:fldCharType="end"/>
      </w:r>
      <w:bookmarkEnd w:id="2"/>
    </w:p>
    <w:p w14:paraId="7548E831" w14:textId="77777777" w:rsidR="00BE78FE" w:rsidRDefault="00BE78FE" w:rsidP="00BE78FE">
      <w:pPr>
        <w:pStyle w:val="ReportAdditionalInfo"/>
      </w:pPr>
      <w:r>
        <w:fldChar w:fldCharType="begin">
          <w:ffData>
            <w:name w:val="Text1"/>
            <w:enabled/>
            <w:calcOnExit w:val="0"/>
            <w:textInput>
              <w:default w:val="Enter additional info here"/>
            </w:textInput>
          </w:ffData>
        </w:fldChar>
      </w:r>
      <w:r>
        <w:instrText xml:space="preserve"> FORMTEXT </w:instrText>
      </w:r>
      <w:r>
        <w:fldChar w:fldCharType="separate"/>
      </w:r>
      <w:r>
        <w:rPr>
          <w:noProof/>
        </w:rPr>
        <w:t>Enter additional info here</w:t>
      </w:r>
      <w:r>
        <w:fldChar w:fldCharType="end"/>
      </w:r>
    </w:p>
    <w:p w14:paraId="09008C9A" w14:textId="77777777" w:rsidR="00BE78FE" w:rsidRDefault="00BE78FE" w:rsidP="00BE78FE">
      <w:pPr>
        <w:pStyle w:val="ReportAdditionalInfo"/>
      </w:pPr>
      <w:r>
        <w:fldChar w:fldCharType="begin">
          <w:ffData>
            <w:name w:val="Text1"/>
            <w:enabled/>
            <w:calcOnExit w:val="0"/>
            <w:textInput>
              <w:default w:val="Enter additional info here"/>
            </w:textInput>
          </w:ffData>
        </w:fldChar>
      </w:r>
      <w:r>
        <w:instrText xml:space="preserve"> FORMTEXT </w:instrText>
      </w:r>
      <w:r>
        <w:fldChar w:fldCharType="separate"/>
      </w:r>
      <w:r>
        <w:rPr>
          <w:noProof/>
        </w:rPr>
        <w:t>Enter additional info here</w:t>
      </w:r>
      <w:r>
        <w:fldChar w:fldCharType="end"/>
      </w:r>
    </w:p>
    <w:p w14:paraId="751E9987" w14:textId="77777777" w:rsidR="00B275CE" w:rsidRDefault="00B275CE">
      <w:pPr>
        <w:spacing w:after="0"/>
        <w:rPr>
          <w:sz w:val="52"/>
        </w:rPr>
      </w:pPr>
      <w:r>
        <w:rPr>
          <w:sz w:val="52"/>
        </w:rPr>
        <w:br w:type="page"/>
      </w:r>
    </w:p>
    <w:p w14:paraId="31F4C8FA" w14:textId="77777777" w:rsidR="00214BBC" w:rsidRDefault="00214BBC" w:rsidP="00663E4A">
      <w:pPr>
        <w:sectPr w:rsidR="00214BBC" w:rsidSect="001659F9">
          <w:headerReference w:type="default" r:id="rId10"/>
          <w:headerReference w:type="first" r:id="rId11"/>
          <w:type w:val="continuous"/>
          <w:pgSz w:w="16838" w:h="11906" w:orient="landscape"/>
          <w:pgMar w:top="1981" w:right="3526" w:bottom="590" w:left="554" w:header="0" w:footer="0" w:gutter="0"/>
          <w:cols w:space="708"/>
          <w:titlePg/>
          <w:docGrid w:linePitch="360"/>
        </w:sectPr>
      </w:pPr>
    </w:p>
    <w:p w14:paraId="16CEFF42" w14:textId="77777777" w:rsidR="00D95F58" w:rsidRPr="003A7F84" w:rsidRDefault="003F7378" w:rsidP="00C149EF">
      <w:pPr>
        <w:pStyle w:val="SectionTitle"/>
      </w:pPr>
      <w:r>
        <w:lastRenderedPageBreak/>
        <w:t>Going Concern: background</w:t>
      </w:r>
    </w:p>
    <w:p w14:paraId="1E2331B0" w14:textId="77777777" w:rsidR="00056D15" w:rsidRDefault="00056D15" w:rsidP="00056D15"/>
    <w:p w14:paraId="4735F4F2" w14:textId="77777777" w:rsidR="00056D15" w:rsidRPr="00056D15" w:rsidRDefault="00056D15" w:rsidP="00056D15">
      <w:pPr>
        <w:sectPr w:rsidR="00056D15" w:rsidRPr="00056D15" w:rsidSect="002F4E22">
          <w:headerReference w:type="first" r:id="rId12"/>
          <w:pgSz w:w="16838" w:h="11906" w:orient="landscape"/>
          <w:pgMar w:top="0" w:right="3513" w:bottom="590" w:left="567" w:header="0" w:footer="0" w:gutter="0"/>
          <w:cols w:space="708"/>
          <w:titlePg/>
          <w:docGrid w:linePitch="360"/>
        </w:sectPr>
      </w:pPr>
    </w:p>
    <w:p w14:paraId="7C02B0BE" w14:textId="77777777" w:rsidR="0065641F" w:rsidRDefault="003F7378" w:rsidP="003F7378">
      <w:pPr>
        <w:pStyle w:val="Subtitle"/>
      </w:pPr>
      <w:r>
        <w:lastRenderedPageBreak/>
        <w:t>Management’s responsibilities</w:t>
      </w:r>
    </w:p>
    <w:p w14:paraId="0E435825" w14:textId="77777777" w:rsidR="003F7378" w:rsidRDefault="003F7378" w:rsidP="003F7378">
      <w:pPr>
        <w:spacing w:after="0"/>
      </w:pPr>
      <w:r>
        <w:t xml:space="preserve">When preparing financial statements under current UK accounting standards, the management of an entity are required to </w:t>
      </w:r>
      <w:proofErr w:type="gramStart"/>
      <w:r>
        <w:t>make an assessment of</w:t>
      </w:r>
      <w:proofErr w:type="gramEnd"/>
      <w:r>
        <w:t xml:space="preserve"> the entity’s ability to continue as a going concern. An entity is a going concern unless management either intends to liquidate the entity or to cease </w:t>
      </w:r>
      <w:proofErr w:type="gramStart"/>
      <w:r>
        <w:t>trading, or</w:t>
      </w:r>
      <w:proofErr w:type="gramEnd"/>
      <w:r>
        <w:t xml:space="preserve"> has no realistic alternative but to do so.</w:t>
      </w:r>
    </w:p>
    <w:p w14:paraId="4899454E" w14:textId="77777777" w:rsidR="003F7378" w:rsidRDefault="003F7378" w:rsidP="003F7378">
      <w:pPr>
        <w:spacing w:after="0"/>
      </w:pPr>
    </w:p>
    <w:p w14:paraId="3B048E37" w14:textId="77777777" w:rsidR="003F7378" w:rsidRDefault="003F7378" w:rsidP="003F7378">
      <w:pPr>
        <w:spacing w:after="0"/>
      </w:pPr>
      <w:r>
        <w:t>When management is aware, in making its assessment, of material uncertainties related to events or conditions that cast significant doubt upon the entity’s ability to continue as a going concern, the entity shall disclose those uncertainties in its financial statements.</w:t>
      </w:r>
    </w:p>
    <w:p w14:paraId="38D09565" w14:textId="77777777" w:rsidR="003F7378" w:rsidRDefault="003F7378" w:rsidP="003F7378">
      <w:pPr>
        <w:spacing w:after="0"/>
      </w:pPr>
    </w:p>
    <w:p w14:paraId="35000D1F" w14:textId="77777777" w:rsidR="003F7378" w:rsidRDefault="003F7378" w:rsidP="003F7378">
      <w:pPr>
        <w:pStyle w:val="Subtitle"/>
      </w:pPr>
      <w:r>
        <w:t>Auditor’s responsibilities – recent changes</w:t>
      </w:r>
    </w:p>
    <w:p w14:paraId="5E043866" w14:textId="77777777" w:rsidR="003F7378" w:rsidRDefault="003F7378" w:rsidP="003F7378">
      <w:pPr>
        <w:spacing w:after="0"/>
      </w:pPr>
      <w:r>
        <w:t>Due to the number of recent high-profile corporate failures, the Financial Reporting Council (FRC) has issued a revised International Standard on Auditing (ISA (UK)) 570, Going Concern, which strengthens the role of auditors in assessing whether a material uncertainty related to going concern exists; and the appropriateness of management's use of the going concern basis of accounting.</w:t>
      </w:r>
    </w:p>
    <w:p w14:paraId="62F48E99" w14:textId="77777777" w:rsidR="003F7378" w:rsidRDefault="003F7378" w:rsidP="003F7378">
      <w:pPr>
        <w:spacing w:after="0"/>
      </w:pPr>
    </w:p>
    <w:p w14:paraId="5B0F72D9" w14:textId="77777777" w:rsidR="003F7378" w:rsidRDefault="003F7378" w:rsidP="003F7378">
      <w:pPr>
        <w:spacing w:after="0"/>
      </w:pPr>
      <w:r>
        <w:t>Effective for accounting periods commencing on or after 15 December 2019, the revised standard significantly strengthens the requirements for UK auditors to perform a robust evaluation of management’s assessment of the going concern status of the entity and demonstrate how they have challenged management’s assessment, documenting the evidence and other supporting documentation obtained.</w:t>
      </w:r>
    </w:p>
    <w:p w14:paraId="7AB5E4EA" w14:textId="77777777" w:rsidR="003F7378" w:rsidRDefault="003F7378" w:rsidP="003F7378">
      <w:pPr>
        <w:spacing w:after="0"/>
      </w:pPr>
    </w:p>
    <w:p w14:paraId="2F1BEF67" w14:textId="77777777" w:rsidR="003F7378" w:rsidRDefault="003F7378" w:rsidP="003F7378">
      <w:pPr>
        <w:pStyle w:val="Subtitle"/>
      </w:pPr>
      <w:r>
        <w:t>Purpose of this questionnaire</w:t>
      </w:r>
    </w:p>
    <w:p w14:paraId="5DBC08C6" w14:textId="77777777" w:rsidR="003F7378" w:rsidRDefault="003F7378" w:rsidP="003F7378">
      <w:pPr>
        <w:spacing w:after="0"/>
      </w:pPr>
      <w:r>
        <w:t>The purpose of the following questionnaire is to notify management, at the planning stage of the audit, of the information required to assess management’s going concern assessment and provide a template for this to be documented.</w:t>
      </w:r>
    </w:p>
    <w:p w14:paraId="11A98347" w14:textId="77777777" w:rsidR="00B008F1" w:rsidRDefault="003F7378" w:rsidP="003F7378">
      <w:pPr>
        <w:spacing w:after="0"/>
        <w:sectPr w:rsidR="00B008F1" w:rsidSect="00B008F1">
          <w:headerReference w:type="default" r:id="rId13"/>
          <w:headerReference w:type="first" r:id="rId14"/>
          <w:pgSz w:w="16838" w:h="11906" w:orient="landscape"/>
          <w:pgMar w:top="1960" w:right="3513" w:bottom="590" w:left="567" w:header="0" w:footer="0" w:gutter="0"/>
          <w:cols w:space="708"/>
          <w:titlePg/>
          <w:docGrid w:linePitch="360"/>
        </w:sectPr>
      </w:pPr>
      <w:r>
        <w:t>We would be grateful if you could complete the questionnaire and return it in advance of the audit fieldwork.</w:t>
      </w:r>
    </w:p>
    <w:p w14:paraId="2F1DEB20" w14:textId="77777777" w:rsidR="00663502" w:rsidRDefault="00663502" w:rsidP="009E65CA">
      <w:pPr>
        <w:spacing w:after="0"/>
      </w:pPr>
      <w:r>
        <w:br w:type="page"/>
      </w:r>
    </w:p>
    <w:p w14:paraId="29D1E42C" w14:textId="77777777" w:rsidR="00D268CC" w:rsidRPr="00214BBC" w:rsidRDefault="003F7378" w:rsidP="00AA175C">
      <w:pPr>
        <w:pStyle w:val="SectionTitle"/>
      </w:pPr>
      <w:r>
        <w:lastRenderedPageBreak/>
        <w:t>Questionnaire</w:t>
      </w:r>
    </w:p>
    <w:p w14:paraId="742B32A4" w14:textId="77777777" w:rsidR="003D7A12" w:rsidRDefault="003D7A12" w:rsidP="005F27E2">
      <w:pPr>
        <w:spacing w:after="0"/>
      </w:pPr>
    </w:p>
    <w:p w14:paraId="3842A26F" w14:textId="77777777" w:rsidR="005F27E2" w:rsidRDefault="005F27E2" w:rsidP="005F27E2">
      <w:pPr>
        <w:spacing w:after="0"/>
        <w:sectPr w:rsidR="005F27E2" w:rsidSect="00B008F1">
          <w:headerReference w:type="default" r:id="rId15"/>
          <w:type w:val="continuous"/>
          <w:pgSz w:w="16838" w:h="11906" w:orient="landscape"/>
          <w:pgMar w:top="0" w:right="3513" w:bottom="590" w:left="567" w:header="0" w:footer="0" w:gutter="0"/>
          <w:cols w:space="708"/>
          <w:titlePg/>
          <w:docGrid w:linePitch="360"/>
        </w:sectPr>
      </w:pPr>
    </w:p>
    <w:tbl>
      <w:tblPr>
        <w:tblStyle w:val="TableGrid"/>
        <w:tblW w:w="12328" w:type="dxa"/>
        <w:tblBorders>
          <w:top w:val="single" w:sz="4" w:space="0" w:color="DC8B90" w:themeColor="accent2" w:themeShade="BF"/>
          <w:left w:val="single" w:sz="4" w:space="0" w:color="DC8B90" w:themeColor="accent2" w:themeShade="BF"/>
          <w:bottom w:val="single" w:sz="4" w:space="0" w:color="DC8B90" w:themeColor="accent2" w:themeShade="BF"/>
          <w:right w:val="single" w:sz="4" w:space="0" w:color="DC8B90" w:themeColor="accent2" w:themeShade="BF"/>
          <w:insideH w:val="single" w:sz="4" w:space="0" w:color="DC8B90" w:themeColor="accent2" w:themeShade="BF"/>
          <w:insideV w:val="single" w:sz="4" w:space="0" w:color="DC8B90" w:themeColor="accent2" w:themeShade="BF"/>
        </w:tblBorders>
        <w:tblLook w:val="04A0" w:firstRow="1" w:lastRow="0" w:firstColumn="1" w:lastColumn="0" w:noHBand="0" w:noVBand="1"/>
      </w:tblPr>
      <w:tblGrid>
        <w:gridCol w:w="6232"/>
        <w:gridCol w:w="6096"/>
      </w:tblGrid>
      <w:tr w:rsidR="003F7378" w:rsidRPr="003F7378" w14:paraId="0855AA6E" w14:textId="77777777" w:rsidTr="00B51A3D">
        <w:tc>
          <w:tcPr>
            <w:tcW w:w="6232" w:type="dxa"/>
          </w:tcPr>
          <w:p w14:paraId="6F5E42AE" w14:textId="77777777" w:rsidR="003F7378" w:rsidRPr="003F7378" w:rsidRDefault="003F7378" w:rsidP="004A2E2D">
            <w:pPr>
              <w:pStyle w:val="ListBullet"/>
              <w:numPr>
                <w:ilvl w:val="0"/>
                <w:numId w:val="0"/>
              </w:numPr>
              <w:ind w:left="447"/>
              <w:rPr>
                <w:b/>
                <w:color w:val="4B4746" w:themeColor="text1"/>
              </w:rPr>
            </w:pPr>
            <w:r w:rsidRPr="003F7378">
              <w:rPr>
                <w:b/>
                <w:color w:val="4B4746" w:themeColor="text1"/>
              </w:rPr>
              <w:lastRenderedPageBreak/>
              <w:t>Question</w:t>
            </w:r>
          </w:p>
        </w:tc>
        <w:tc>
          <w:tcPr>
            <w:tcW w:w="6096" w:type="dxa"/>
          </w:tcPr>
          <w:p w14:paraId="0E30FC8F" w14:textId="77777777" w:rsidR="003F7378" w:rsidRPr="003F7378" w:rsidRDefault="003F7378" w:rsidP="003F7378">
            <w:pPr>
              <w:pStyle w:val="ListBullet"/>
              <w:numPr>
                <w:ilvl w:val="0"/>
                <w:numId w:val="0"/>
              </w:numPr>
              <w:ind w:left="720"/>
              <w:rPr>
                <w:b/>
                <w:color w:val="4B4746" w:themeColor="text1"/>
              </w:rPr>
            </w:pPr>
            <w:r w:rsidRPr="003F7378">
              <w:rPr>
                <w:b/>
                <w:color w:val="4B4746" w:themeColor="text1"/>
              </w:rPr>
              <w:t>Response</w:t>
            </w:r>
          </w:p>
        </w:tc>
      </w:tr>
      <w:tr w:rsidR="003F7378" w:rsidRPr="003F7378" w14:paraId="58F0EF74" w14:textId="77777777" w:rsidTr="00B51A3D">
        <w:tc>
          <w:tcPr>
            <w:tcW w:w="6232" w:type="dxa"/>
          </w:tcPr>
          <w:p w14:paraId="59780571" w14:textId="77777777" w:rsidR="003F7378" w:rsidRPr="003F7378" w:rsidRDefault="003F7378" w:rsidP="004A2E2D">
            <w:pPr>
              <w:pStyle w:val="ListBullet"/>
              <w:numPr>
                <w:ilvl w:val="0"/>
                <w:numId w:val="15"/>
              </w:numPr>
              <w:ind w:left="447"/>
              <w:rPr>
                <w:color w:val="4B4746" w:themeColor="text1"/>
              </w:rPr>
            </w:pPr>
            <w:r w:rsidRPr="003F7378">
              <w:rPr>
                <w:color w:val="4B4746" w:themeColor="text1"/>
              </w:rPr>
              <w:t>Describe how you:</w:t>
            </w:r>
          </w:p>
          <w:p w14:paraId="6C75A4D4" w14:textId="77777777" w:rsidR="003F7378" w:rsidRPr="003F7378" w:rsidRDefault="003F7378" w:rsidP="004A2E2D">
            <w:pPr>
              <w:pStyle w:val="ListBullet"/>
              <w:numPr>
                <w:ilvl w:val="0"/>
                <w:numId w:val="16"/>
              </w:numPr>
              <w:ind w:left="447"/>
              <w:rPr>
                <w:color w:val="4B4746" w:themeColor="text1"/>
              </w:rPr>
            </w:pPr>
            <w:r w:rsidRPr="003F7378">
              <w:rPr>
                <w:color w:val="4B4746" w:themeColor="text1"/>
              </w:rPr>
              <w:t xml:space="preserve">identify business risks that may affect the entity’s ability to continue as a going </w:t>
            </w:r>
            <w:proofErr w:type="gramStart"/>
            <w:r w:rsidRPr="003F7378">
              <w:rPr>
                <w:color w:val="4B4746" w:themeColor="text1"/>
              </w:rPr>
              <w:t>concern;</w:t>
            </w:r>
            <w:proofErr w:type="gramEnd"/>
          </w:p>
          <w:p w14:paraId="78413E9E" w14:textId="77777777" w:rsidR="003F7378" w:rsidRPr="003F7378" w:rsidRDefault="003F7378" w:rsidP="004A2E2D">
            <w:pPr>
              <w:pStyle w:val="ListBullet"/>
              <w:numPr>
                <w:ilvl w:val="0"/>
                <w:numId w:val="16"/>
              </w:numPr>
              <w:ind w:left="447"/>
              <w:rPr>
                <w:color w:val="4B4746" w:themeColor="text1"/>
              </w:rPr>
            </w:pPr>
            <w:r w:rsidRPr="003F7378">
              <w:rPr>
                <w:color w:val="4B4746" w:themeColor="text1"/>
              </w:rPr>
              <w:t xml:space="preserve">assess the significance, </w:t>
            </w:r>
            <w:proofErr w:type="gramStart"/>
            <w:r w:rsidRPr="003F7378">
              <w:rPr>
                <w:color w:val="4B4746" w:themeColor="text1"/>
              </w:rPr>
              <w:t>likelihood</w:t>
            </w:r>
            <w:proofErr w:type="gramEnd"/>
            <w:r w:rsidRPr="003F7378">
              <w:rPr>
                <w:color w:val="4B4746" w:themeColor="text1"/>
              </w:rPr>
              <w:t xml:space="preserve"> and impact of those risks; and</w:t>
            </w:r>
          </w:p>
          <w:p w14:paraId="7A0C18EC" w14:textId="77777777" w:rsidR="003F7378" w:rsidRPr="003F7378" w:rsidRDefault="003F7378" w:rsidP="004A2E2D">
            <w:pPr>
              <w:pStyle w:val="ListBullet"/>
              <w:numPr>
                <w:ilvl w:val="0"/>
                <w:numId w:val="16"/>
              </w:numPr>
              <w:ind w:left="447"/>
              <w:rPr>
                <w:color w:val="4B4746" w:themeColor="text1"/>
              </w:rPr>
            </w:pPr>
            <w:r w:rsidRPr="003F7378">
              <w:rPr>
                <w:color w:val="4B4746" w:themeColor="text1"/>
              </w:rPr>
              <w:t>address those risks.</w:t>
            </w:r>
          </w:p>
          <w:p w14:paraId="3D251ABC" w14:textId="77777777" w:rsidR="004A2E2D" w:rsidRDefault="004A2E2D" w:rsidP="004A2E2D">
            <w:pPr>
              <w:pStyle w:val="ListBullet"/>
              <w:numPr>
                <w:ilvl w:val="0"/>
                <w:numId w:val="0"/>
              </w:numPr>
              <w:ind w:left="447"/>
              <w:rPr>
                <w:i/>
                <w:iCs/>
                <w:color w:val="4B4746" w:themeColor="text1"/>
              </w:rPr>
            </w:pPr>
          </w:p>
          <w:p w14:paraId="537F61A8" w14:textId="77777777" w:rsidR="003F7378" w:rsidRDefault="003F7378" w:rsidP="004A2E2D">
            <w:pPr>
              <w:pStyle w:val="ListBullet"/>
              <w:numPr>
                <w:ilvl w:val="0"/>
                <w:numId w:val="0"/>
              </w:numPr>
              <w:ind w:left="447"/>
              <w:rPr>
                <w:i/>
                <w:iCs/>
                <w:color w:val="4B4746" w:themeColor="text1"/>
              </w:rPr>
            </w:pPr>
            <w:r w:rsidRPr="003F7378">
              <w:rPr>
                <w:i/>
                <w:iCs/>
                <w:color w:val="4B4746" w:themeColor="text1"/>
              </w:rPr>
              <w:t xml:space="preserve">Please provide copies of all related forecasts, relevant </w:t>
            </w:r>
            <w:proofErr w:type="gramStart"/>
            <w:r w:rsidRPr="003F7378">
              <w:rPr>
                <w:i/>
                <w:iCs/>
                <w:color w:val="4B4746" w:themeColor="text1"/>
              </w:rPr>
              <w:t>assumptions</w:t>
            </w:r>
            <w:proofErr w:type="gramEnd"/>
            <w:r w:rsidRPr="003F7378">
              <w:rPr>
                <w:i/>
                <w:iCs/>
                <w:color w:val="4B4746" w:themeColor="text1"/>
              </w:rPr>
              <w:t xml:space="preserve"> and other supporting information.</w:t>
            </w:r>
          </w:p>
          <w:p w14:paraId="58D24F2F" w14:textId="77777777" w:rsidR="004A2E2D" w:rsidRPr="003F7378" w:rsidRDefault="004A2E2D" w:rsidP="004A2E2D">
            <w:pPr>
              <w:pStyle w:val="ListBullet"/>
              <w:numPr>
                <w:ilvl w:val="0"/>
                <w:numId w:val="0"/>
              </w:numPr>
              <w:ind w:left="447"/>
              <w:rPr>
                <w:color w:val="4B4746" w:themeColor="text1"/>
              </w:rPr>
            </w:pPr>
          </w:p>
        </w:tc>
        <w:tc>
          <w:tcPr>
            <w:tcW w:w="6096" w:type="dxa"/>
          </w:tcPr>
          <w:p w14:paraId="1734A028" w14:textId="77777777" w:rsidR="003F7378" w:rsidRPr="003F7378" w:rsidRDefault="003F7378" w:rsidP="003F7378">
            <w:pPr>
              <w:pStyle w:val="ListBullet"/>
              <w:numPr>
                <w:ilvl w:val="0"/>
                <w:numId w:val="0"/>
              </w:numPr>
              <w:ind w:left="720"/>
              <w:rPr>
                <w:color w:val="4B4746" w:themeColor="text1"/>
              </w:rPr>
            </w:pPr>
          </w:p>
        </w:tc>
      </w:tr>
      <w:tr w:rsidR="003F7378" w:rsidRPr="003F7378" w14:paraId="1A2770E8" w14:textId="77777777" w:rsidTr="00B51A3D">
        <w:tc>
          <w:tcPr>
            <w:tcW w:w="6232" w:type="dxa"/>
          </w:tcPr>
          <w:p w14:paraId="2E1F1593" w14:textId="77777777" w:rsidR="003F7378" w:rsidRPr="003F7378" w:rsidRDefault="003F7378" w:rsidP="004A2E2D">
            <w:pPr>
              <w:pStyle w:val="ListBullet"/>
              <w:numPr>
                <w:ilvl w:val="0"/>
                <w:numId w:val="15"/>
              </w:numPr>
              <w:ind w:left="447"/>
              <w:rPr>
                <w:color w:val="4B4746" w:themeColor="text1"/>
              </w:rPr>
            </w:pPr>
            <w:r w:rsidRPr="003F7378">
              <w:rPr>
                <w:color w:val="4B4746" w:themeColor="text1"/>
              </w:rPr>
              <w:t xml:space="preserve">What assessment period has been considered?  Where this period differs from periods of forecasting provided for other reasons, </w:t>
            </w:r>
            <w:proofErr w:type="gramStart"/>
            <w:r w:rsidRPr="003F7378">
              <w:rPr>
                <w:color w:val="4B4746" w:themeColor="text1"/>
              </w:rPr>
              <w:t>e.g.</w:t>
            </w:r>
            <w:proofErr w:type="gramEnd"/>
            <w:r w:rsidRPr="003F7378">
              <w:rPr>
                <w:color w:val="4B4746" w:themeColor="text1"/>
              </w:rPr>
              <w:t xml:space="preserve"> bank covenants, please explain why this different period is appropriate.</w:t>
            </w:r>
          </w:p>
          <w:p w14:paraId="798B7979" w14:textId="77777777" w:rsidR="003F7378" w:rsidRPr="003F7378" w:rsidRDefault="003F7378" w:rsidP="004A2E2D">
            <w:pPr>
              <w:pStyle w:val="ListBullet"/>
              <w:numPr>
                <w:ilvl w:val="0"/>
                <w:numId w:val="0"/>
              </w:numPr>
              <w:ind w:left="447"/>
              <w:rPr>
                <w:color w:val="4B4746" w:themeColor="text1"/>
              </w:rPr>
            </w:pPr>
          </w:p>
          <w:p w14:paraId="76C00553" w14:textId="77777777" w:rsidR="003F7378" w:rsidRDefault="003F7378" w:rsidP="004A2E2D">
            <w:pPr>
              <w:pStyle w:val="ListBullet"/>
              <w:numPr>
                <w:ilvl w:val="0"/>
                <w:numId w:val="0"/>
              </w:numPr>
              <w:ind w:left="447"/>
              <w:rPr>
                <w:i/>
                <w:iCs/>
                <w:color w:val="4B4746" w:themeColor="text1"/>
              </w:rPr>
            </w:pPr>
            <w:r w:rsidRPr="003F7378">
              <w:rPr>
                <w:i/>
                <w:iCs/>
                <w:color w:val="4B4746" w:themeColor="text1"/>
              </w:rPr>
              <w:t>Note: In the UK there is a minimum requirement of 12 months from the date of approval of the financial statements.</w:t>
            </w:r>
          </w:p>
          <w:p w14:paraId="3F99306C" w14:textId="77777777" w:rsidR="004A2E2D" w:rsidRPr="003F7378" w:rsidRDefault="004A2E2D" w:rsidP="004A2E2D">
            <w:pPr>
              <w:pStyle w:val="ListBullet"/>
              <w:numPr>
                <w:ilvl w:val="0"/>
                <w:numId w:val="0"/>
              </w:numPr>
              <w:ind w:left="447"/>
              <w:rPr>
                <w:i/>
                <w:iCs/>
                <w:color w:val="4B4746" w:themeColor="text1"/>
              </w:rPr>
            </w:pPr>
          </w:p>
        </w:tc>
        <w:tc>
          <w:tcPr>
            <w:tcW w:w="6096" w:type="dxa"/>
          </w:tcPr>
          <w:p w14:paraId="72E36F08" w14:textId="77777777" w:rsidR="003F7378" w:rsidRPr="003F7378" w:rsidRDefault="003F7378" w:rsidP="003F7378">
            <w:pPr>
              <w:pStyle w:val="ListBullet"/>
              <w:numPr>
                <w:ilvl w:val="0"/>
                <w:numId w:val="0"/>
              </w:numPr>
              <w:ind w:left="720"/>
              <w:rPr>
                <w:color w:val="4B4746" w:themeColor="text1"/>
              </w:rPr>
            </w:pPr>
          </w:p>
        </w:tc>
      </w:tr>
      <w:tr w:rsidR="003F7378" w:rsidRPr="003F7378" w14:paraId="7F45B9DF" w14:textId="77777777" w:rsidTr="00B51A3D">
        <w:tc>
          <w:tcPr>
            <w:tcW w:w="6232" w:type="dxa"/>
          </w:tcPr>
          <w:p w14:paraId="76233671" w14:textId="77777777" w:rsidR="003F7378" w:rsidRDefault="003F7378" w:rsidP="004A2E2D">
            <w:pPr>
              <w:pStyle w:val="ListBullet"/>
              <w:numPr>
                <w:ilvl w:val="0"/>
                <w:numId w:val="15"/>
              </w:numPr>
              <w:ind w:left="447"/>
              <w:rPr>
                <w:color w:val="4B4746" w:themeColor="text1"/>
              </w:rPr>
            </w:pPr>
            <w:r w:rsidRPr="003F7378">
              <w:rPr>
                <w:color w:val="4B4746" w:themeColor="text1"/>
              </w:rPr>
              <w:t>If the assessment period does not extend a period of at least 12 months from the date that the financial statements are expected to be approved, are management willing to extend their assessment?</w:t>
            </w:r>
          </w:p>
          <w:p w14:paraId="3FEC75CD" w14:textId="77777777" w:rsidR="004A2E2D" w:rsidRPr="003F7378" w:rsidRDefault="004A2E2D" w:rsidP="004A2E2D">
            <w:pPr>
              <w:pStyle w:val="ListBullet"/>
              <w:numPr>
                <w:ilvl w:val="0"/>
                <w:numId w:val="15"/>
              </w:numPr>
              <w:ind w:left="447"/>
              <w:rPr>
                <w:color w:val="4B4746" w:themeColor="text1"/>
              </w:rPr>
            </w:pPr>
          </w:p>
        </w:tc>
        <w:tc>
          <w:tcPr>
            <w:tcW w:w="6096" w:type="dxa"/>
          </w:tcPr>
          <w:p w14:paraId="6D7010E9" w14:textId="77777777" w:rsidR="003F7378" w:rsidRPr="003F7378" w:rsidRDefault="003F7378" w:rsidP="003F7378">
            <w:pPr>
              <w:pStyle w:val="ListBullet"/>
              <w:numPr>
                <w:ilvl w:val="0"/>
                <w:numId w:val="0"/>
              </w:numPr>
              <w:ind w:left="720"/>
              <w:rPr>
                <w:color w:val="4B4746" w:themeColor="text1"/>
              </w:rPr>
            </w:pPr>
          </w:p>
        </w:tc>
      </w:tr>
      <w:tr w:rsidR="003F7378" w:rsidRPr="003F7378" w14:paraId="178F329D" w14:textId="77777777" w:rsidTr="00B51A3D">
        <w:tc>
          <w:tcPr>
            <w:tcW w:w="6232" w:type="dxa"/>
          </w:tcPr>
          <w:p w14:paraId="30F88A56" w14:textId="77777777" w:rsidR="003F7378" w:rsidRPr="003F7378" w:rsidRDefault="003F7378" w:rsidP="004A2E2D">
            <w:pPr>
              <w:pStyle w:val="ListBullet"/>
              <w:numPr>
                <w:ilvl w:val="0"/>
                <w:numId w:val="15"/>
              </w:numPr>
              <w:ind w:left="447"/>
              <w:rPr>
                <w:color w:val="4B4746" w:themeColor="text1"/>
              </w:rPr>
            </w:pPr>
            <w:r w:rsidRPr="003F7378">
              <w:rPr>
                <w:color w:val="4B4746" w:themeColor="text1"/>
              </w:rPr>
              <w:t>What developments in the wider industry and economy have there been, or are there expected to be during the assessment period, which may impact the entity’s ability to continue as a going concern?</w:t>
            </w:r>
          </w:p>
          <w:p w14:paraId="49DFD57D" w14:textId="77777777" w:rsidR="003F7378" w:rsidRPr="003F7378" w:rsidRDefault="003F7378" w:rsidP="004A2E2D">
            <w:pPr>
              <w:pStyle w:val="ListBullet"/>
              <w:numPr>
                <w:ilvl w:val="0"/>
                <w:numId w:val="0"/>
              </w:numPr>
              <w:ind w:left="447"/>
              <w:rPr>
                <w:color w:val="4B4746" w:themeColor="text1"/>
              </w:rPr>
            </w:pPr>
          </w:p>
          <w:p w14:paraId="2B0E0ADB" w14:textId="77777777" w:rsidR="003F7378" w:rsidRDefault="003F7378" w:rsidP="004A2E2D">
            <w:pPr>
              <w:pStyle w:val="ListBullet"/>
              <w:numPr>
                <w:ilvl w:val="0"/>
                <w:numId w:val="0"/>
              </w:numPr>
              <w:ind w:left="447"/>
              <w:rPr>
                <w:i/>
                <w:iCs/>
                <w:color w:val="4B4746" w:themeColor="text1"/>
              </w:rPr>
            </w:pPr>
            <w:r w:rsidRPr="003F7378">
              <w:rPr>
                <w:i/>
                <w:iCs/>
                <w:color w:val="4B4746" w:themeColor="text1"/>
              </w:rPr>
              <w:lastRenderedPageBreak/>
              <w:t>Note: From a wider industry perspective, this may include new major competitors entering the market, changes in legislation, new technologies making products obsolete, changes in commodity prices or systemic issues with supply chains. From an economy perspective, this may include events such as Brexit or Covid-19.</w:t>
            </w:r>
          </w:p>
          <w:p w14:paraId="54C3435B" w14:textId="77777777" w:rsidR="004A2E2D" w:rsidRPr="003F7378" w:rsidRDefault="004A2E2D" w:rsidP="004A2E2D">
            <w:pPr>
              <w:pStyle w:val="ListBullet"/>
              <w:numPr>
                <w:ilvl w:val="0"/>
                <w:numId w:val="0"/>
              </w:numPr>
              <w:ind w:left="447"/>
              <w:rPr>
                <w:i/>
                <w:iCs/>
                <w:color w:val="4B4746" w:themeColor="text1"/>
              </w:rPr>
            </w:pPr>
          </w:p>
        </w:tc>
        <w:tc>
          <w:tcPr>
            <w:tcW w:w="6096" w:type="dxa"/>
          </w:tcPr>
          <w:p w14:paraId="61FBE50E" w14:textId="77777777" w:rsidR="003F7378" w:rsidRPr="003F7378" w:rsidRDefault="003F7378" w:rsidP="003F7378">
            <w:pPr>
              <w:pStyle w:val="ListBullet"/>
              <w:numPr>
                <w:ilvl w:val="0"/>
                <w:numId w:val="0"/>
              </w:numPr>
              <w:ind w:left="720"/>
              <w:rPr>
                <w:color w:val="4B4746" w:themeColor="text1"/>
              </w:rPr>
            </w:pPr>
          </w:p>
        </w:tc>
      </w:tr>
      <w:tr w:rsidR="003F7378" w:rsidRPr="003F7378" w14:paraId="0B4E88DF" w14:textId="77777777" w:rsidTr="00B51A3D">
        <w:tc>
          <w:tcPr>
            <w:tcW w:w="6232" w:type="dxa"/>
          </w:tcPr>
          <w:p w14:paraId="6B95736B" w14:textId="77777777" w:rsidR="003F7378" w:rsidRPr="003F7378" w:rsidRDefault="003F7378" w:rsidP="004A2E2D">
            <w:pPr>
              <w:pStyle w:val="ListBullet"/>
              <w:numPr>
                <w:ilvl w:val="0"/>
                <w:numId w:val="15"/>
              </w:numPr>
              <w:ind w:left="447"/>
              <w:rPr>
                <w:color w:val="4B4746" w:themeColor="text1"/>
              </w:rPr>
            </w:pPr>
            <w:r w:rsidRPr="003F7378">
              <w:rPr>
                <w:color w:val="4B4746" w:themeColor="text1"/>
              </w:rPr>
              <w:t>What are the key plans for the business during the assessment period and beyond, and how have they been factored into the going concern assessment? Please quantify as far as possible.</w:t>
            </w:r>
          </w:p>
          <w:p w14:paraId="5F79CD86" w14:textId="77777777" w:rsidR="003F7378" w:rsidRPr="003F7378" w:rsidRDefault="003F7378" w:rsidP="004A2E2D">
            <w:pPr>
              <w:pStyle w:val="ListBullet"/>
              <w:numPr>
                <w:ilvl w:val="0"/>
                <w:numId w:val="0"/>
              </w:numPr>
              <w:ind w:left="447"/>
              <w:rPr>
                <w:color w:val="4B4746" w:themeColor="text1"/>
              </w:rPr>
            </w:pPr>
          </w:p>
          <w:p w14:paraId="5ECE7F0B" w14:textId="77777777" w:rsidR="003F7378" w:rsidRDefault="003F7378" w:rsidP="004A2E2D">
            <w:pPr>
              <w:pStyle w:val="ListBullet"/>
              <w:numPr>
                <w:ilvl w:val="0"/>
                <w:numId w:val="0"/>
              </w:numPr>
              <w:ind w:left="447"/>
              <w:rPr>
                <w:i/>
                <w:iCs/>
                <w:color w:val="4B4746" w:themeColor="text1"/>
              </w:rPr>
            </w:pPr>
            <w:proofErr w:type="gramStart"/>
            <w:r w:rsidRPr="003F7378">
              <w:rPr>
                <w:i/>
                <w:iCs/>
                <w:color w:val="4B4746" w:themeColor="text1"/>
              </w:rPr>
              <w:t>E.g.</w:t>
            </w:r>
            <w:proofErr w:type="gramEnd"/>
            <w:r w:rsidRPr="003F7378">
              <w:rPr>
                <w:i/>
                <w:iCs/>
                <w:color w:val="4B4746" w:themeColor="text1"/>
              </w:rPr>
              <w:t xml:space="preserve"> are any changes in product lines expected, are there plans to expand, is a refinancing imminent, are any one-off investments expected?</w:t>
            </w:r>
          </w:p>
          <w:p w14:paraId="32ECC262" w14:textId="77777777" w:rsidR="004A2E2D" w:rsidRPr="003F7378" w:rsidRDefault="004A2E2D" w:rsidP="004A2E2D">
            <w:pPr>
              <w:pStyle w:val="ListBullet"/>
              <w:numPr>
                <w:ilvl w:val="0"/>
                <w:numId w:val="0"/>
              </w:numPr>
              <w:ind w:left="447"/>
              <w:rPr>
                <w:i/>
                <w:iCs/>
                <w:color w:val="4B4746" w:themeColor="text1"/>
              </w:rPr>
            </w:pPr>
          </w:p>
        </w:tc>
        <w:tc>
          <w:tcPr>
            <w:tcW w:w="6096" w:type="dxa"/>
          </w:tcPr>
          <w:p w14:paraId="3FE9E6F8" w14:textId="77777777" w:rsidR="003F7378" w:rsidRPr="003F7378" w:rsidRDefault="003F7378" w:rsidP="003F7378">
            <w:pPr>
              <w:pStyle w:val="ListBullet"/>
              <w:numPr>
                <w:ilvl w:val="0"/>
                <w:numId w:val="0"/>
              </w:numPr>
              <w:ind w:left="720"/>
              <w:rPr>
                <w:color w:val="4B4746" w:themeColor="text1"/>
              </w:rPr>
            </w:pPr>
          </w:p>
        </w:tc>
      </w:tr>
      <w:tr w:rsidR="003F7378" w:rsidRPr="003F7378" w14:paraId="356DA5F9" w14:textId="77777777" w:rsidTr="00B51A3D">
        <w:tc>
          <w:tcPr>
            <w:tcW w:w="6232" w:type="dxa"/>
          </w:tcPr>
          <w:p w14:paraId="5EE57F25" w14:textId="77777777" w:rsidR="003F7378" w:rsidRPr="003F7378" w:rsidRDefault="003F7378" w:rsidP="004A2E2D">
            <w:pPr>
              <w:pStyle w:val="ListBullet"/>
              <w:numPr>
                <w:ilvl w:val="0"/>
                <w:numId w:val="15"/>
              </w:numPr>
              <w:ind w:left="447"/>
              <w:rPr>
                <w:color w:val="4B4746" w:themeColor="text1"/>
              </w:rPr>
            </w:pPr>
            <w:r w:rsidRPr="003F7378">
              <w:rPr>
                <w:color w:val="4B4746" w:themeColor="text1"/>
              </w:rPr>
              <w:t>Have any events or conditions been identified, including during or beyond the assessment period, that may cast significant doubt on the entity’s ability to continue as a going concern?</w:t>
            </w:r>
          </w:p>
          <w:p w14:paraId="254B87C2" w14:textId="77777777" w:rsidR="003F7378" w:rsidRPr="003F7378" w:rsidRDefault="003F7378" w:rsidP="004A2E2D">
            <w:pPr>
              <w:pStyle w:val="ListBullet"/>
              <w:numPr>
                <w:ilvl w:val="0"/>
                <w:numId w:val="0"/>
              </w:numPr>
              <w:ind w:left="447"/>
              <w:rPr>
                <w:color w:val="4B4746" w:themeColor="text1"/>
              </w:rPr>
            </w:pPr>
          </w:p>
          <w:p w14:paraId="5DA3E4BB" w14:textId="77777777" w:rsidR="003F7378" w:rsidRDefault="003F7378" w:rsidP="004A2E2D">
            <w:pPr>
              <w:pStyle w:val="ListBullet"/>
              <w:numPr>
                <w:ilvl w:val="0"/>
                <w:numId w:val="0"/>
              </w:numPr>
              <w:ind w:left="447"/>
              <w:rPr>
                <w:i/>
                <w:iCs/>
                <w:color w:val="4B4746" w:themeColor="text1"/>
              </w:rPr>
            </w:pPr>
            <w:r w:rsidRPr="003F7378">
              <w:rPr>
                <w:i/>
                <w:iCs/>
                <w:color w:val="4B4746" w:themeColor="text1"/>
              </w:rPr>
              <w:t>Note: When considering the impact of such events or conditions, events or conditions should be assessed both individually and collectively. Appendix 1 provides some examples of events or conditions.</w:t>
            </w:r>
          </w:p>
          <w:p w14:paraId="738AD02B" w14:textId="77777777" w:rsidR="004A2E2D" w:rsidRPr="003F7378" w:rsidRDefault="004A2E2D" w:rsidP="004A2E2D">
            <w:pPr>
              <w:pStyle w:val="ListBullet"/>
              <w:numPr>
                <w:ilvl w:val="0"/>
                <w:numId w:val="0"/>
              </w:numPr>
              <w:ind w:left="447"/>
              <w:rPr>
                <w:i/>
                <w:iCs/>
                <w:color w:val="4B4746" w:themeColor="text1"/>
              </w:rPr>
            </w:pPr>
          </w:p>
        </w:tc>
        <w:tc>
          <w:tcPr>
            <w:tcW w:w="6096" w:type="dxa"/>
          </w:tcPr>
          <w:p w14:paraId="2F60F397" w14:textId="77777777" w:rsidR="003F7378" w:rsidRPr="003F7378" w:rsidRDefault="003F7378" w:rsidP="003F7378">
            <w:pPr>
              <w:pStyle w:val="ListBullet"/>
              <w:numPr>
                <w:ilvl w:val="0"/>
                <w:numId w:val="0"/>
              </w:numPr>
              <w:ind w:left="720"/>
              <w:rPr>
                <w:color w:val="4B4746" w:themeColor="text1"/>
              </w:rPr>
            </w:pPr>
          </w:p>
        </w:tc>
      </w:tr>
      <w:tr w:rsidR="003F7378" w:rsidRPr="003F7378" w14:paraId="37B536F8" w14:textId="77777777" w:rsidTr="00B51A3D">
        <w:tc>
          <w:tcPr>
            <w:tcW w:w="6232" w:type="dxa"/>
          </w:tcPr>
          <w:p w14:paraId="4A850B30" w14:textId="77777777" w:rsidR="003F7378" w:rsidRPr="003F7378" w:rsidRDefault="003F7378" w:rsidP="004A2E2D">
            <w:pPr>
              <w:pStyle w:val="ListBullet"/>
              <w:numPr>
                <w:ilvl w:val="0"/>
                <w:numId w:val="15"/>
              </w:numPr>
              <w:ind w:left="447"/>
              <w:rPr>
                <w:color w:val="4B4746" w:themeColor="text1"/>
              </w:rPr>
            </w:pPr>
            <w:r w:rsidRPr="003F7378">
              <w:rPr>
                <w:color w:val="4B4746" w:themeColor="text1"/>
              </w:rPr>
              <w:t>What method of assessment has been selected, and why has it been deemed an appropriate basis of assessment?</w:t>
            </w:r>
          </w:p>
          <w:p w14:paraId="6D0B0015" w14:textId="77777777" w:rsidR="003F7378" w:rsidRPr="003F7378" w:rsidRDefault="003F7378" w:rsidP="004A2E2D">
            <w:pPr>
              <w:pStyle w:val="ListBullet"/>
              <w:numPr>
                <w:ilvl w:val="0"/>
                <w:numId w:val="0"/>
              </w:numPr>
              <w:ind w:left="447"/>
              <w:rPr>
                <w:color w:val="4B4746" w:themeColor="text1"/>
              </w:rPr>
            </w:pPr>
            <w:r w:rsidRPr="003F7378">
              <w:rPr>
                <w:color w:val="4B4746" w:themeColor="text1"/>
              </w:rPr>
              <w:t>Has the method of assessment changed from the prior year? If so, why is this appropriate?</w:t>
            </w:r>
          </w:p>
          <w:p w14:paraId="5A0F290D" w14:textId="77777777" w:rsidR="003F7378" w:rsidRPr="003F7378" w:rsidRDefault="003F7378" w:rsidP="004A2E2D">
            <w:pPr>
              <w:pStyle w:val="ListBullet"/>
              <w:numPr>
                <w:ilvl w:val="0"/>
                <w:numId w:val="0"/>
              </w:numPr>
              <w:ind w:left="447"/>
              <w:rPr>
                <w:color w:val="4B4746" w:themeColor="text1"/>
              </w:rPr>
            </w:pPr>
          </w:p>
          <w:p w14:paraId="12A6C8A5" w14:textId="77777777" w:rsidR="003F7378" w:rsidRPr="003F7378" w:rsidRDefault="003F7378" w:rsidP="004A2E2D">
            <w:pPr>
              <w:pStyle w:val="ListBullet"/>
              <w:numPr>
                <w:ilvl w:val="0"/>
                <w:numId w:val="0"/>
              </w:numPr>
              <w:ind w:left="447"/>
              <w:rPr>
                <w:i/>
                <w:iCs/>
                <w:color w:val="4B4746" w:themeColor="text1"/>
              </w:rPr>
            </w:pPr>
            <w:r w:rsidRPr="003F7378">
              <w:rPr>
                <w:i/>
                <w:iCs/>
                <w:color w:val="4B4746" w:themeColor="text1"/>
              </w:rPr>
              <w:t>Note: Potential methods of assessment include:</w:t>
            </w:r>
          </w:p>
          <w:p w14:paraId="236C0B27" w14:textId="77777777" w:rsidR="003F7378" w:rsidRPr="003F7378" w:rsidRDefault="003F7378" w:rsidP="004A2E2D">
            <w:pPr>
              <w:pStyle w:val="ListBullet"/>
              <w:numPr>
                <w:ilvl w:val="0"/>
                <w:numId w:val="17"/>
              </w:numPr>
              <w:ind w:left="447"/>
              <w:rPr>
                <w:i/>
                <w:iCs/>
                <w:color w:val="4B4746" w:themeColor="text1"/>
              </w:rPr>
            </w:pPr>
            <w:r w:rsidRPr="003F7378">
              <w:rPr>
                <w:i/>
                <w:iCs/>
                <w:color w:val="4B4746" w:themeColor="text1"/>
              </w:rPr>
              <w:t xml:space="preserve">Cashflow forecasts demonstrating sufficient liquid resources to meet liabilities as they fall </w:t>
            </w:r>
            <w:proofErr w:type="gramStart"/>
            <w:r w:rsidRPr="003F7378">
              <w:rPr>
                <w:i/>
                <w:iCs/>
                <w:color w:val="4B4746" w:themeColor="text1"/>
              </w:rPr>
              <w:t>due</w:t>
            </w:r>
            <w:proofErr w:type="gramEnd"/>
          </w:p>
          <w:p w14:paraId="02F4AD44" w14:textId="77777777" w:rsidR="003F7378" w:rsidRPr="003F7378" w:rsidRDefault="003F7378" w:rsidP="004A2E2D">
            <w:pPr>
              <w:pStyle w:val="ListBullet"/>
              <w:numPr>
                <w:ilvl w:val="0"/>
                <w:numId w:val="17"/>
              </w:numPr>
              <w:ind w:left="447"/>
              <w:rPr>
                <w:i/>
                <w:iCs/>
                <w:color w:val="4B4746" w:themeColor="text1"/>
              </w:rPr>
            </w:pPr>
            <w:r w:rsidRPr="003F7378">
              <w:rPr>
                <w:i/>
                <w:iCs/>
                <w:color w:val="4B4746" w:themeColor="text1"/>
              </w:rPr>
              <w:t>Reliance on group/parent support, together with an assessment on their ability to provide the support and a business rationale behind their intentions.</w:t>
            </w:r>
          </w:p>
          <w:p w14:paraId="7FA7B1DC" w14:textId="77777777" w:rsidR="003F7378" w:rsidRPr="004A2E2D" w:rsidRDefault="003F7378" w:rsidP="004A2E2D">
            <w:pPr>
              <w:pStyle w:val="ListBullet"/>
              <w:numPr>
                <w:ilvl w:val="0"/>
                <w:numId w:val="17"/>
              </w:numPr>
              <w:ind w:left="447"/>
              <w:rPr>
                <w:i/>
                <w:iCs/>
                <w:color w:val="4B4746" w:themeColor="text1"/>
              </w:rPr>
            </w:pPr>
            <w:r w:rsidRPr="003F7378">
              <w:rPr>
                <w:i/>
                <w:iCs/>
                <w:color w:val="4B4746" w:themeColor="text1"/>
              </w:rPr>
              <w:t xml:space="preserve">Significant availability of cash, far </w:t>
            </w:r>
            <w:proofErr w:type="gramStart"/>
            <w:r w:rsidRPr="003F7378">
              <w:rPr>
                <w:i/>
                <w:iCs/>
                <w:color w:val="4B4746" w:themeColor="text1"/>
              </w:rPr>
              <w:t>in excess of</w:t>
            </w:r>
            <w:proofErr w:type="gramEnd"/>
            <w:r w:rsidRPr="003F7378">
              <w:rPr>
                <w:i/>
                <w:iCs/>
                <w:color w:val="4B4746" w:themeColor="text1"/>
              </w:rPr>
              <w:t xml:space="preserve"> requirements.</w:t>
            </w:r>
          </w:p>
          <w:p w14:paraId="5F5F52E9" w14:textId="77777777" w:rsidR="003F7378" w:rsidRPr="004A2E2D" w:rsidRDefault="003F7378" w:rsidP="004A2E2D">
            <w:pPr>
              <w:pStyle w:val="ListBullet"/>
              <w:numPr>
                <w:ilvl w:val="0"/>
                <w:numId w:val="17"/>
              </w:numPr>
              <w:ind w:left="447"/>
              <w:rPr>
                <w:color w:val="4B4746" w:themeColor="text1"/>
              </w:rPr>
            </w:pPr>
            <w:r w:rsidRPr="003F7378">
              <w:rPr>
                <w:i/>
                <w:iCs/>
                <w:color w:val="4B4746" w:themeColor="text1"/>
              </w:rPr>
              <w:t>Other tools such as scenario analysis and sensitivity analysis may also be used as part of management’s assessment.</w:t>
            </w:r>
          </w:p>
          <w:p w14:paraId="66FCAD80" w14:textId="77777777" w:rsidR="004A2E2D" w:rsidRPr="003F7378" w:rsidRDefault="004A2E2D" w:rsidP="004A2E2D">
            <w:pPr>
              <w:pStyle w:val="ListBullet"/>
              <w:numPr>
                <w:ilvl w:val="0"/>
                <w:numId w:val="0"/>
              </w:numPr>
              <w:ind w:left="447"/>
              <w:rPr>
                <w:color w:val="4B4746" w:themeColor="text1"/>
              </w:rPr>
            </w:pPr>
          </w:p>
        </w:tc>
        <w:tc>
          <w:tcPr>
            <w:tcW w:w="6096" w:type="dxa"/>
          </w:tcPr>
          <w:p w14:paraId="0699072E" w14:textId="77777777" w:rsidR="003F7378" w:rsidRPr="003F7378" w:rsidRDefault="003F7378" w:rsidP="003F7378">
            <w:pPr>
              <w:pStyle w:val="ListBullet"/>
              <w:numPr>
                <w:ilvl w:val="0"/>
                <w:numId w:val="0"/>
              </w:numPr>
              <w:ind w:left="720"/>
              <w:rPr>
                <w:color w:val="4B4746" w:themeColor="text1"/>
              </w:rPr>
            </w:pPr>
          </w:p>
        </w:tc>
      </w:tr>
      <w:tr w:rsidR="003F7378" w:rsidRPr="003F7378" w14:paraId="3E70A0B6" w14:textId="77777777" w:rsidTr="00B51A3D">
        <w:tc>
          <w:tcPr>
            <w:tcW w:w="6232" w:type="dxa"/>
          </w:tcPr>
          <w:p w14:paraId="3E0A97F8" w14:textId="77777777" w:rsidR="003F7378" w:rsidRPr="003F7378" w:rsidRDefault="003F7378" w:rsidP="004A2E2D">
            <w:pPr>
              <w:pStyle w:val="ListBullet"/>
              <w:numPr>
                <w:ilvl w:val="0"/>
                <w:numId w:val="15"/>
              </w:numPr>
              <w:ind w:left="447"/>
              <w:rPr>
                <w:color w:val="4B4746" w:themeColor="text1"/>
              </w:rPr>
            </w:pPr>
            <w:r w:rsidRPr="003F7378">
              <w:rPr>
                <w:color w:val="4B4746" w:themeColor="text1"/>
              </w:rPr>
              <w:t xml:space="preserve">Where cashflow forecasts are used as the method of assessment, explain the process for compilation, </w:t>
            </w:r>
            <w:proofErr w:type="gramStart"/>
            <w:r w:rsidRPr="003F7378">
              <w:rPr>
                <w:color w:val="4B4746" w:themeColor="text1"/>
              </w:rPr>
              <w:t>oversight</w:t>
            </w:r>
            <w:proofErr w:type="gramEnd"/>
            <w:r w:rsidRPr="003F7378">
              <w:rPr>
                <w:color w:val="4B4746" w:themeColor="text1"/>
              </w:rPr>
              <w:t xml:space="preserve"> and governance of the forecasts.</w:t>
            </w:r>
          </w:p>
          <w:p w14:paraId="3774D0B2" w14:textId="77777777" w:rsidR="003F7378" w:rsidRPr="003F7378" w:rsidRDefault="003F7378" w:rsidP="004A2E2D">
            <w:pPr>
              <w:pStyle w:val="ListBullet"/>
              <w:numPr>
                <w:ilvl w:val="0"/>
                <w:numId w:val="0"/>
              </w:numPr>
              <w:ind w:left="447"/>
              <w:rPr>
                <w:color w:val="4B4746" w:themeColor="text1"/>
              </w:rPr>
            </w:pPr>
          </w:p>
          <w:p w14:paraId="17772112" w14:textId="77777777" w:rsidR="003F7378" w:rsidRDefault="003F7378" w:rsidP="004A2E2D">
            <w:pPr>
              <w:pStyle w:val="ListBullet"/>
              <w:numPr>
                <w:ilvl w:val="0"/>
                <w:numId w:val="0"/>
              </w:numPr>
              <w:ind w:left="447"/>
              <w:rPr>
                <w:i/>
                <w:iCs/>
                <w:color w:val="4B4746" w:themeColor="text1"/>
              </w:rPr>
            </w:pPr>
            <w:proofErr w:type="gramStart"/>
            <w:r w:rsidRPr="003F7378">
              <w:rPr>
                <w:i/>
                <w:iCs/>
                <w:color w:val="4B4746" w:themeColor="text1"/>
              </w:rPr>
              <w:t>E.g.</w:t>
            </w:r>
            <w:proofErr w:type="gramEnd"/>
            <w:r w:rsidRPr="003F7378">
              <w:rPr>
                <w:i/>
                <w:iCs/>
                <w:color w:val="4B4746" w:themeColor="text1"/>
              </w:rPr>
              <w:t xml:space="preserve"> are forecasts built from the top down or bottom up, are they built from scratch each year or are they based on prior year figures adjusted for known changes, has external data been factored in as key assumptions, who prepares, reviews and approves them?</w:t>
            </w:r>
          </w:p>
          <w:p w14:paraId="503C724D" w14:textId="77777777" w:rsidR="004A2E2D" w:rsidRPr="003F7378" w:rsidRDefault="004A2E2D" w:rsidP="004A2E2D">
            <w:pPr>
              <w:pStyle w:val="ListBullet"/>
              <w:numPr>
                <w:ilvl w:val="0"/>
                <w:numId w:val="0"/>
              </w:numPr>
              <w:ind w:left="447"/>
              <w:rPr>
                <w:i/>
                <w:iCs/>
                <w:color w:val="4B4746" w:themeColor="text1"/>
              </w:rPr>
            </w:pPr>
          </w:p>
        </w:tc>
        <w:tc>
          <w:tcPr>
            <w:tcW w:w="6096" w:type="dxa"/>
          </w:tcPr>
          <w:p w14:paraId="39F9C7BE" w14:textId="77777777" w:rsidR="003F7378" w:rsidRPr="003F7378" w:rsidRDefault="003F7378" w:rsidP="003F7378">
            <w:pPr>
              <w:pStyle w:val="ListBullet"/>
              <w:numPr>
                <w:ilvl w:val="0"/>
                <w:numId w:val="0"/>
              </w:numPr>
              <w:ind w:left="720"/>
              <w:rPr>
                <w:color w:val="4B4746" w:themeColor="text1"/>
              </w:rPr>
            </w:pPr>
          </w:p>
        </w:tc>
      </w:tr>
      <w:tr w:rsidR="003F7378" w:rsidRPr="003F7378" w14:paraId="47C92A39" w14:textId="77777777" w:rsidTr="00B51A3D">
        <w:tc>
          <w:tcPr>
            <w:tcW w:w="6232" w:type="dxa"/>
          </w:tcPr>
          <w:p w14:paraId="01D2340C" w14:textId="77777777" w:rsidR="003F7378" w:rsidRDefault="003F7378" w:rsidP="004A2E2D">
            <w:pPr>
              <w:pStyle w:val="ListBullet"/>
              <w:numPr>
                <w:ilvl w:val="0"/>
                <w:numId w:val="15"/>
              </w:numPr>
              <w:ind w:left="447"/>
              <w:rPr>
                <w:color w:val="4B4746" w:themeColor="text1"/>
              </w:rPr>
            </w:pPr>
            <w:r w:rsidRPr="003F7378">
              <w:rPr>
                <w:color w:val="4B4746" w:themeColor="text1"/>
              </w:rPr>
              <w:t>Where an assessment has been performed on a group basis, how have you considered the assessment in relation to each subsidiary company? Document your conclusions and justifications for each subsidiary.</w:t>
            </w:r>
          </w:p>
          <w:p w14:paraId="7823603C" w14:textId="77777777" w:rsidR="004A2E2D" w:rsidRPr="003F7378" w:rsidRDefault="004A2E2D" w:rsidP="004A2E2D">
            <w:pPr>
              <w:pStyle w:val="ListBullet"/>
              <w:numPr>
                <w:ilvl w:val="0"/>
                <w:numId w:val="0"/>
              </w:numPr>
              <w:ind w:left="447"/>
              <w:rPr>
                <w:color w:val="4B4746" w:themeColor="text1"/>
              </w:rPr>
            </w:pPr>
          </w:p>
        </w:tc>
        <w:tc>
          <w:tcPr>
            <w:tcW w:w="6096" w:type="dxa"/>
          </w:tcPr>
          <w:p w14:paraId="002FE0A1" w14:textId="77777777" w:rsidR="003F7378" w:rsidRPr="003F7378" w:rsidRDefault="003F7378" w:rsidP="003F7378">
            <w:pPr>
              <w:pStyle w:val="ListBullet"/>
              <w:numPr>
                <w:ilvl w:val="0"/>
                <w:numId w:val="0"/>
              </w:numPr>
              <w:ind w:left="720"/>
              <w:rPr>
                <w:color w:val="4B4746" w:themeColor="text1"/>
              </w:rPr>
            </w:pPr>
          </w:p>
        </w:tc>
      </w:tr>
      <w:tr w:rsidR="003F7378" w:rsidRPr="003F7378" w14:paraId="741CBE22" w14:textId="77777777" w:rsidTr="00B51A3D">
        <w:tc>
          <w:tcPr>
            <w:tcW w:w="6232" w:type="dxa"/>
          </w:tcPr>
          <w:p w14:paraId="0B65AD38" w14:textId="77777777" w:rsidR="003F7378" w:rsidRPr="003F7378" w:rsidRDefault="003F7378" w:rsidP="004A2E2D">
            <w:pPr>
              <w:pStyle w:val="ListBullet"/>
              <w:numPr>
                <w:ilvl w:val="0"/>
                <w:numId w:val="15"/>
              </w:numPr>
              <w:ind w:left="447"/>
              <w:rPr>
                <w:color w:val="4B4746" w:themeColor="text1"/>
              </w:rPr>
            </w:pPr>
            <w:r w:rsidRPr="003F7378">
              <w:rPr>
                <w:color w:val="4B4746" w:themeColor="text1"/>
              </w:rPr>
              <w:t xml:space="preserve">What are the key assumptions underpinning the going concern assessment, and which of these are the most sensitive? Provide explanations for the use of these </w:t>
            </w:r>
            <w:r w:rsidRPr="003F7378">
              <w:rPr>
                <w:color w:val="4B4746" w:themeColor="text1"/>
              </w:rPr>
              <w:lastRenderedPageBreak/>
              <w:t>assumptions, providing supporting evidence where at all possible.</w:t>
            </w:r>
          </w:p>
          <w:p w14:paraId="56B2FD68" w14:textId="77777777" w:rsidR="003F7378" w:rsidRPr="003F7378" w:rsidRDefault="003F7378" w:rsidP="004A2E2D">
            <w:pPr>
              <w:pStyle w:val="ListBullet"/>
              <w:numPr>
                <w:ilvl w:val="0"/>
                <w:numId w:val="0"/>
              </w:numPr>
              <w:ind w:left="447"/>
              <w:rPr>
                <w:color w:val="4B4746" w:themeColor="text1"/>
              </w:rPr>
            </w:pPr>
          </w:p>
          <w:p w14:paraId="2BB0643C" w14:textId="77777777" w:rsidR="003F7378" w:rsidRDefault="003F7378" w:rsidP="004A2E2D">
            <w:pPr>
              <w:pStyle w:val="ListBullet"/>
              <w:numPr>
                <w:ilvl w:val="0"/>
                <w:numId w:val="0"/>
              </w:numPr>
              <w:ind w:left="447"/>
              <w:rPr>
                <w:i/>
                <w:iCs/>
                <w:color w:val="4B4746" w:themeColor="text1"/>
              </w:rPr>
            </w:pPr>
            <w:r w:rsidRPr="003F7378">
              <w:rPr>
                <w:i/>
                <w:iCs/>
                <w:color w:val="4B4746" w:themeColor="text1"/>
              </w:rPr>
              <w:t xml:space="preserve">Note: Where there is contradicting evidence or you considered alternative assumptions, provide this </w:t>
            </w:r>
            <w:proofErr w:type="gramStart"/>
            <w:r w:rsidRPr="003F7378">
              <w:rPr>
                <w:i/>
                <w:iCs/>
                <w:color w:val="4B4746" w:themeColor="text1"/>
              </w:rPr>
              <w:t>information</w:t>
            </w:r>
            <w:proofErr w:type="gramEnd"/>
            <w:r w:rsidRPr="003F7378">
              <w:rPr>
                <w:i/>
                <w:iCs/>
                <w:color w:val="4B4746" w:themeColor="text1"/>
              </w:rPr>
              <w:t xml:space="preserve"> and explain why this has been disregarded or why the actual assumption used is more appropriate and relevant.</w:t>
            </w:r>
          </w:p>
          <w:p w14:paraId="29022964" w14:textId="77777777" w:rsidR="004A2E2D" w:rsidRPr="003F7378" w:rsidRDefault="004A2E2D" w:rsidP="004A2E2D">
            <w:pPr>
              <w:pStyle w:val="ListBullet"/>
              <w:numPr>
                <w:ilvl w:val="0"/>
                <w:numId w:val="0"/>
              </w:numPr>
              <w:ind w:left="447"/>
              <w:rPr>
                <w:i/>
                <w:iCs/>
                <w:color w:val="4B4746" w:themeColor="text1"/>
              </w:rPr>
            </w:pPr>
          </w:p>
        </w:tc>
        <w:tc>
          <w:tcPr>
            <w:tcW w:w="6096" w:type="dxa"/>
          </w:tcPr>
          <w:p w14:paraId="52FAA1C4" w14:textId="77777777" w:rsidR="003F7378" w:rsidRPr="003F7378" w:rsidRDefault="003F7378" w:rsidP="003F7378">
            <w:pPr>
              <w:pStyle w:val="ListBullet"/>
              <w:numPr>
                <w:ilvl w:val="0"/>
                <w:numId w:val="0"/>
              </w:numPr>
              <w:ind w:left="720"/>
              <w:rPr>
                <w:color w:val="4B4746" w:themeColor="text1"/>
              </w:rPr>
            </w:pPr>
          </w:p>
        </w:tc>
      </w:tr>
      <w:tr w:rsidR="003F7378" w:rsidRPr="003F7378" w14:paraId="704B0A4F" w14:textId="77777777" w:rsidTr="00B51A3D">
        <w:tc>
          <w:tcPr>
            <w:tcW w:w="6232" w:type="dxa"/>
          </w:tcPr>
          <w:p w14:paraId="0DB707B4" w14:textId="77777777" w:rsidR="003F7378" w:rsidRDefault="003F7378" w:rsidP="004A2E2D">
            <w:pPr>
              <w:pStyle w:val="ListBullet"/>
              <w:numPr>
                <w:ilvl w:val="0"/>
                <w:numId w:val="15"/>
              </w:numPr>
              <w:ind w:left="447"/>
              <w:rPr>
                <w:color w:val="4B4746" w:themeColor="text1"/>
              </w:rPr>
            </w:pPr>
            <w:r w:rsidRPr="003F7378">
              <w:rPr>
                <w:color w:val="4B4746" w:themeColor="text1"/>
              </w:rPr>
              <w:t>Where scenario planning or sensitivity analysis has been performed on forecasts, at what level of assumptions do the forecasts demonstrate an issue in relation to going concern (</w:t>
            </w:r>
            <w:proofErr w:type="gramStart"/>
            <w:r w:rsidRPr="003F7378">
              <w:rPr>
                <w:color w:val="4B4746" w:themeColor="text1"/>
              </w:rPr>
              <w:t>e.g.</w:t>
            </w:r>
            <w:proofErr w:type="gramEnd"/>
            <w:r w:rsidRPr="003F7378">
              <w:rPr>
                <w:color w:val="4B4746" w:themeColor="text1"/>
              </w:rPr>
              <w:t xml:space="preserve"> a deficit of available cash or a breach of loan covenants)? What is the likelihood of this event occurring?</w:t>
            </w:r>
          </w:p>
          <w:p w14:paraId="41AF46DA" w14:textId="77777777" w:rsidR="004A2E2D" w:rsidRPr="003F7378" w:rsidRDefault="004A2E2D" w:rsidP="004A2E2D">
            <w:pPr>
              <w:pStyle w:val="ListBullet"/>
              <w:numPr>
                <w:ilvl w:val="0"/>
                <w:numId w:val="0"/>
              </w:numPr>
              <w:ind w:left="447"/>
              <w:rPr>
                <w:color w:val="4B4746" w:themeColor="text1"/>
              </w:rPr>
            </w:pPr>
          </w:p>
        </w:tc>
        <w:tc>
          <w:tcPr>
            <w:tcW w:w="6096" w:type="dxa"/>
          </w:tcPr>
          <w:p w14:paraId="7C3DF774" w14:textId="77777777" w:rsidR="003F7378" w:rsidRPr="003F7378" w:rsidRDefault="003F7378" w:rsidP="003F7378">
            <w:pPr>
              <w:pStyle w:val="ListBullet"/>
              <w:numPr>
                <w:ilvl w:val="0"/>
                <w:numId w:val="0"/>
              </w:numPr>
              <w:ind w:left="720"/>
              <w:rPr>
                <w:color w:val="4B4746" w:themeColor="text1"/>
              </w:rPr>
            </w:pPr>
          </w:p>
        </w:tc>
      </w:tr>
      <w:tr w:rsidR="003F7378" w:rsidRPr="003F7378" w14:paraId="3A28D908" w14:textId="77777777" w:rsidTr="00B51A3D">
        <w:tc>
          <w:tcPr>
            <w:tcW w:w="6232" w:type="dxa"/>
          </w:tcPr>
          <w:p w14:paraId="09D76B91" w14:textId="77777777" w:rsidR="003F7378" w:rsidRPr="003F7378" w:rsidRDefault="003F7378" w:rsidP="004A2E2D">
            <w:pPr>
              <w:pStyle w:val="ListBullet"/>
              <w:numPr>
                <w:ilvl w:val="0"/>
                <w:numId w:val="15"/>
              </w:numPr>
              <w:ind w:left="447"/>
              <w:rPr>
                <w:color w:val="4B4746" w:themeColor="text1"/>
              </w:rPr>
            </w:pPr>
            <w:r w:rsidRPr="003F7378">
              <w:rPr>
                <w:color w:val="4B4746" w:themeColor="text1"/>
              </w:rPr>
              <w:t xml:space="preserve">Are assumptions, data and forecasts used in the going concern assessment, consistent with those used in the assessment of other areas of the entity’s business activities, and if not </w:t>
            </w:r>
            <w:proofErr w:type="gramStart"/>
            <w:r w:rsidRPr="003F7378">
              <w:rPr>
                <w:color w:val="4B4746" w:themeColor="text1"/>
              </w:rPr>
              <w:t>why not</w:t>
            </w:r>
            <w:proofErr w:type="gramEnd"/>
            <w:r w:rsidRPr="003F7378">
              <w:rPr>
                <w:color w:val="4B4746" w:themeColor="text1"/>
              </w:rPr>
              <w:t>?</w:t>
            </w:r>
          </w:p>
          <w:p w14:paraId="28465EB0" w14:textId="77777777" w:rsidR="003F7378" w:rsidRPr="003F7378" w:rsidRDefault="003F7378" w:rsidP="004A2E2D">
            <w:pPr>
              <w:pStyle w:val="ListBullet"/>
              <w:numPr>
                <w:ilvl w:val="0"/>
                <w:numId w:val="0"/>
              </w:numPr>
              <w:ind w:left="447"/>
              <w:rPr>
                <w:color w:val="4B4746" w:themeColor="text1"/>
              </w:rPr>
            </w:pPr>
          </w:p>
          <w:p w14:paraId="2EAB4494" w14:textId="77777777" w:rsidR="003F7378" w:rsidRDefault="003F7378" w:rsidP="004A2E2D">
            <w:pPr>
              <w:pStyle w:val="ListBullet"/>
              <w:numPr>
                <w:ilvl w:val="0"/>
                <w:numId w:val="0"/>
              </w:numPr>
              <w:ind w:left="447"/>
              <w:rPr>
                <w:i/>
                <w:iCs/>
                <w:color w:val="4B4746" w:themeColor="text1"/>
              </w:rPr>
            </w:pPr>
            <w:proofErr w:type="gramStart"/>
            <w:r w:rsidRPr="003F7378">
              <w:rPr>
                <w:i/>
                <w:iCs/>
                <w:color w:val="4B4746" w:themeColor="text1"/>
              </w:rPr>
              <w:t>E.g.</w:t>
            </w:r>
            <w:proofErr w:type="gramEnd"/>
            <w:r w:rsidRPr="003F7378">
              <w:rPr>
                <w:i/>
                <w:iCs/>
                <w:color w:val="4B4746" w:themeColor="text1"/>
              </w:rPr>
              <w:t xml:space="preserve"> asset impairment reviews, or consideration of the recoverability of deferred tax assets.</w:t>
            </w:r>
          </w:p>
          <w:p w14:paraId="7B72B5E8" w14:textId="77777777" w:rsidR="004A2E2D" w:rsidRPr="003F7378" w:rsidRDefault="004A2E2D" w:rsidP="004A2E2D">
            <w:pPr>
              <w:pStyle w:val="ListBullet"/>
              <w:numPr>
                <w:ilvl w:val="0"/>
                <w:numId w:val="0"/>
              </w:numPr>
              <w:ind w:left="447"/>
              <w:rPr>
                <w:i/>
                <w:iCs/>
                <w:color w:val="4B4746" w:themeColor="text1"/>
              </w:rPr>
            </w:pPr>
          </w:p>
        </w:tc>
        <w:tc>
          <w:tcPr>
            <w:tcW w:w="6096" w:type="dxa"/>
          </w:tcPr>
          <w:p w14:paraId="7AB984CE" w14:textId="77777777" w:rsidR="003F7378" w:rsidRPr="003F7378" w:rsidRDefault="003F7378" w:rsidP="003F7378">
            <w:pPr>
              <w:pStyle w:val="ListBullet"/>
              <w:numPr>
                <w:ilvl w:val="0"/>
                <w:numId w:val="0"/>
              </w:numPr>
              <w:ind w:left="720"/>
              <w:rPr>
                <w:color w:val="4B4746" w:themeColor="text1"/>
              </w:rPr>
            </w:pPr>
          </w:p>
        </w:tc>
      </w:tr>
      <w:tr w:rsidR="003F7378" w:rsidRPr="003F7378" w14:paraId="605C138F" w14:textId="77777777" w:rsidTr="00B51A3D">
        <w:tc>
          <w:tcPr>
            <w:tcW w:w="6232" w:type="dxa"/>
          </w:tcPr>
          <w:p w14:paraId="4C1AEE08" w14:textId="77777777" w:rsidR="003F7378" w:rsidRPr="003F7378" w:rsidRDefault="003F7378" w:rsidP="004A2E2D">
            <w:pPr>
              <w:pStyle w:val="ListBullet"/>
              <w:numPr>
                <w:ilvl w:val="0"/>
                <w:numId w:val="15"/>
              </w:numPr>
              <w:ind w:left="447"/>
              <w:rPr>
                <w:color w:val="4B4746" w:themeColor="text1"/>
              </w:rPr>
            </w:pPr>
            <w:r w:rsidRPr="003F7378">
              <w:rPr>
                <w:color w:val="4B4746" w:themeColor="text1"/>
              </w:rPr>
              <w:t>Where your assessment includes plans for future actions to mitigate any identified events or conditions that may cast significant doubt on the entity’s ability to continue as a going concern, describe those plans, the reasons for the chosen course of action and why it is considered feasible.</w:t>
            </w:r>
          </w:p>
          <w:p w14:paraId="402A98D9" w14:textId="77777777" w:rsidR="003F7378" w:rsidRPr="003F7378" w:rsidRDefault="003F7378" w:rsidP="004A2E2D">
            <w:pPr>
              <w:pStyle w:val="ListBullet"/>
              <w:numPr>
                <w:ilvl w:val="0"/>
                <w:numId w:val="0"/>
              </w:numPr>
              <w:ind w:left="447"/>
              <w:rPr>
                <w:color w:val="4B4746" w:themeColor="text1"/>
              </w:rPr>
            </w:pPr>
          </w:p>
          <w:p w14:paraId="3D36A4E8" w14:textId="77777777" w:rsidR="003F7378" w:rsidRDefault="003F7378" w:rsidP="004A2E2D">
            <w:pPr>
              <w:pStyle w:val="ListBullet"/>
              <w:numPr>
                <w:ilvl w:val="0"/>
                <w:numId w:val="0"/>
              </w:numPr>
              <w:ind w:left="447"/>
              <w:rPr>
                <w:i/>
                <w:iCs/>
                <w:color w:val="4B4746" w:themeColor="text1"/>
              </w:rPr>
            </w:pPr>
            <w:r w:rsidRPr="003F7378">
              <w:rPr>
                <w:i/>
                <w:iCs/>
                <w:color w:val="4B4746" w:themeColor="text1"/>
              </w:rPr>
              <w:lastRenderedPageBreak/>
              <w:t xml:space="preserve">Note: Such plans may include, for example, plans to liquidate assets, borrow </w:t>
            </w:r>
            <w:proofErr w:type="gramStart"/>
            <w:r w:rsidRPr="003F7378">
              <w:rPr>
                <w:i/>
                <w:iCs/>
                <w:color w:val="4B4746" w:themeColor="text1"/>
              </w:rPr>
              <w:t>money</w:t>
            </w:r>
            <w:proofErr w:type="gramEnd"/>
            <w:r w:rsidRPr="003F7378">
              <w:rPr>
                <w:i/>
                <w:iCs/>
                <w:color w:val="4B4746" w:themeColor="text1"/>
              </w:rPr>
              <w:t xml:space="preserve"> or restructure debt, reduce or delay expenditures, or increase capital.</w:t>
            </w:r>
          </w:p>
          <w:p w14:paraId="74613D95" w14:textId="77777777" w:rsidR="004A2E2D" w:rsidRPr="003F7378" w:rsidRDefault="004A2E2D" w:rsidP="004A2E2D">
            <w:pPr>
              <w:pStyle w:val="ListBullet"/>
              <w:numPr>
                <w:ilvl w:val="0"/>
                <w:numId w:val="0"/>
              </w:numPr>
              <w:ind w:left="447"/>
              <w:rPr>
                <w:i/>
                <w:iCs/>
                <w:color w:val="4B4746" w:themeColor="text1"/>
              </w:rPr>
            </w:pPr>
          </w:p>
        </w:tc>
        <w:tc>
          <w:tcPr>
            <w:tcW w:w="6096" w:type="dxa"/>
          </w:tcPr>
          <w:p w14:paraId="51846D25" w14:textId="77777777" w:rsidR="003F7378" w:rsidRPr="003F7378" w:rsidRDefault="003F7378" w:rsidP="003F7378">
            <w:pPr>
              <w:pStyle w:val="ListBullet"/>
              <w:numPr>
                <w:ilvl w:val="0"/>
                <w:numId w:val="0"/>
              </w:numPr>
              <w:ind w:left="720"/>
              <w:rPr>
                <w:color w:val="4B4746" w:themeColor="text1"/>
              </w:rPr>
            </w:pPr>
          </w:p>
        </w:tc>
      </w:tr>
      <w:tr w:rsidR="003F7378" w:rsidRPr="003F7378" w14:paraId="59D68924" w14:textId="77777777" w:rsidTr="00B51A3D">
        <w:tc>
          <w:tcPr>
            <w:tcW w:w="6232" w:type="dxa"/>
          </w:tcPr>
          <w:p w14:paraId="47673D19" w14:textId="77777777" w:rsidR="003F7378" w:rsidRPr="003F7378" w:rsidRDefault="003F7378" w:rsidP="004A2E2D">
            <w:pPr>
              <w:pStyle w:val="ListBullet"/>
              <w:numPr>
                <w:ilvl w:val="0"/>
                <w:numId w:val="15"/>
              </w:numPr>
              <w:ind w:left="447"/>
              <w:rPr>
                <w:color w:val="4B4746" w:themeColor="text1"/>
              </w:rPr>
            </w:pPr>
            <w:r w:rsidRPr="003F7378">
              <w:rPr>
                <w:color w:val="4B4746" w:themeColor="text1"/>
              </w:rPr>
              <w:t>Where your assessment is based on the support of another party, how have you assessed the ability of the third party to provide the support and their rationale for doing so where such support is not legally enforceable?</w:t>
            </w:r>
          </w:p>
          <w:p w14:paraId="5E9FD45A" w14:textId="77777777" w:rsidR="003F7378" w:rsidRPr="003F7378" w:rsidRDefault="003F7378" w:rsidP="004A2E2D">
            <w:pPr>
              <w:pStyle w:val="ListBullet"/>
              <w:numPr>
                <w:ilvl w:val="0"/>
                <w:numId w:val="0"/>
              </w:numPr>
              <w:ind w:left="447"/>
              <w:rPr>
                <w:color w:val="4B4746" w:themeColor="text1"/>
              </w:rPr>
            </w:pPr>
          </w:p>
          <w:p w14:paraId="34A26C98" w14:textId="77777777" w:rsidR="003F7378" w:rsidRDefault="003F7378" w:rsidP="004A2E2D">
            <w:pPr>
              <w:pStyle w:val="ListBullet"/>
              <w:numPr>
                <w:ilvl w:val="0"/>
                <w:numId w:val="0"/>
              </w:numPr>
              <w:ind w:left="447"/>
              <w:rPr>
                <w:i/>
                <w:iCs/>
                <w:color w:val="4B4746" w:themeColor="text1"/>
              </w:rPr>
            </w:pPr>
            <w:r w:rsidRPr="003F7378">
              <w:rPr>
                <w:i/>
                <w:iCs/>
                <w:color w:val="4B4746" w:themeColor="text1"/>
              </w:rPr>
              <w:t>Note: Support may be provided by a parent company, a fellow group company, a shareholder etc.</w:t>
            </w:r>
          </w:p>
          <w:p w14:paraId="562CCC46" w14:textId="77777777" w:rsidR="004A2E2D" w:rsidRPr="003F7378" w:rsidRDefault="004A2E2D" w:rsidP="004A2E2D">
            <w:pPr>
              <w:pStyle w:val="ListBullet"/>
              <w:numPr>
                <w:ilvl w:val="0"/>
                <w:numId w:val="0"/>
              </w:numPr>
              <w:ind w:left="447"/>
              <w:rPr>
                <w:i/>
                <w:iCs/>
                <w:color w:val="4B4746" w:themeColor="text1"/>
              </w:rPr>
            </w:pPr>
          </w:p>
        </w:tc>
        <w:tc>
          <w:tcPr>
            <w:tcW w:w="6096" w:type="dxa"/>
          </w:tcPr>
          <w:p w14:paraId="0FA57718" w14:textId="77777777" w:rsidR="003F7378" w:rsidRPr="003F7378" w:rsidRDefault="003F7378" w:rsidP="003F7378">
            <w:pPr>
              <w:pStyle w:val="ListBullet"/>
              <w:numPr>
                <w:ilvl w:val="0"/>
                <w:numId w:val="0"/>
              </w:numPr>
              <w:ind w:left="720"/>
              <w:rPr>
                <w:color w:val="4B4746" w:themeColor="text1"/>
              </w:rPr>
            </w:pPr>
          </w:p>
        </w:tc>
      </w:tr>
      <w:tr w:rsidR="003F7378" w:rsidRPr="003F7378" w14:paraId="56DC3E81" w14:textId="77777777" w:rsidTr="00B51A3D">
        <w:tc>
          <w:tcPr>
            <w:tcW w:w="6232" w:type="dxa"/>
          </w:tcPr>
          <w:p w14:paraId="1658177A" w14:textId="77777777" w:rsidR="003F7378" w:rsidRPr="003F7378" w:rsidRDefault="003F7378" w:rsidP="004A2E2D">
            <w:pPr>
              <w:pStyle w:val="ListBullet"/>
              <w:numPr>
                <w:ilvl w:val="0"/>
                <w:numId w:val="15"/>
              </w:numPr>
              <w:ind w:left="447"/>
              <w:rPr>
                <w:color w:val="4B4746" w:themeColor="text1"/>
              </w:rPr>
            </w:pPr>
            <w:r w:rsidRPr="003F7378">
              <w:rPr>
                <w:color w:val="4B4746" w:themeColor="text1"/>
              </w:rPr>
              <w:t>What is your conclusion in relation to going concern, and how have you come to this determination?</w:t>
            </w:r>
          </w:p>
          <w:p w14:paraId="4C895E4A" w14:textId="77777777" w:rsidR="003F7378" w:rsidRPr="003F7378" w:rsidRDefault="003F7378" w:rsidP="004A2E2D">
            <w:pPr>
              <w:pStyle w:val="ListBullet"/>
              <w:numPr>
                <w:ilvl w:val="0"/>
                <w:numId w:val="0"/>
              </w:numPr>
              <w:ind w:left="447"/>
              <w:rPr>
                <w:color w:val="4B4746" w:themeColor="text1"/>
              </w:rPr>
            </w:pPr>
          </w:p>
          <w:p w14:paraId="4CF314D9" w14:textId="77777777" w:rsidR="003F7378" w:rsidRPr="003F7378" w:rsidRDefault="003F7378" w:rsidP="004A2E2D">
            <w:pPr>
              <w:pStyle w:val="ListBullet"/>
              <w:numPr>
                <w:ilvl w:val="0"/>
                <w:numId w:val="0"/>
              </w:numPr>
              <w:ind w:left="447"/>
              <w:rPr>
                <w:i/>
                <w:iCs/>
                <w:color w:val="4B4746" w:themeColor="text1"/>
              </w:rPr>
            </w:pPr>
            <w:r w:rsidRPr="003F7378">
              <w:rPr>
                <w:i/>
                <w:iCs/>
                <w:color w:val="4B4746" w:themeColor="text1"/>
              </w:rPr>
              <w:t>Note: Conclusions may include:</w:t>
            </w:r>
          </w:p>
          <w:p w14:paraId="2473AC1D" w14:textId="77777777" w:rsidR="003F7378" w:rsidRPr="003F7378" w:rsidRDefault="003F7378" w:rsidP="004A2E2D">
            <w:pPr>
              <w:pStyle w:val="ListBullet"/>
              <w:numPr>
                <w:ilvl w:val="0"/>
                <w:numId w:val="18"/>
              </w:numPr>
              <w:ind w:left="447"/>
              <w:rPr>
                <w:i/>
                <w:iCs/>
                <w:color w:val="4B4746" w:themeColor="text1"/>
              </w:rPr>
            </w:pPr>
            <w:r w:rsidRPr="003F7378">
              <w:rPr>
                <w:i/>
                <w:iCs/>
                <w:color w:val="4B4746" w:themeColor="text1"/>
              </w:rPr>
              <w:t xml:space="preserve">The entity is a going </w:t>
            </w:r>
            <w:proofErr w:type="gramStart"/>
            <w:r w:rsidRPr="003F7378">
              <w:rPr>
                <w:i/>
                <w:iCs/>
                <w:color w:val="4B4746" w:themeColor="text1"/>
              </w:rPr>
              <w:t>concern</w:t>
            </w:r>
            <w:proofErr w:type="gramEnd"/>
          </w:p>
          <w:p w14:paraId="049EA1DD" w14:textId="77777777" w:rsidR="003F7378" w:rsidRPr="003F7378" w:rsidRDefault="003F7378" w:rsidP="004A2E2D">
            <w:pPr>
              <w:pStyle w:val="ListBullet"/>
              <w:numPr>
                <w:ilvl w:val="0"/>
                <w:numId w:val="18"/>
              </w:numPr>
              <w:ind w:left="447"/>
              <w:rPr>
                <w:i/>
                <w:iCs/>
                <w:color w:val="4B4746" w:themeColor="text1"/>
              </w:rPr>
            </w:pPr>
            <w:r w:rsidRPr="003F7378">
              <w:rPr>
                <w:i/>
                <w:iCs/>
                <w:color w:val="4B4746" w:themeColor="text1"/>
              </w:rPr>
              <w:t>The entity is a going concern, but events or conditions have been identified which may be of importance to the readers of the financial statements, but which do not constitute a material uncertainty.</w:t>
            </w:r>
          </w:p>
          <w:p w14:paraId="54B46025" w14:textId="77777777" w:rsidR="003F7378" w:rsidRPr="003F7378" w:rsidRDefault="003F7378" w:rsidP="004A2E2D">
            <w:pPr>
              <w:pStyle w:val="ListBullet"/>
              <w:numPr>
                <w:ilvl w:val="0"/>
                <w:numId w:val="18"/>
              </w:numPr>
              <w:ind w:left="447"/>
              <w:rPr>
                <w:i/>
                <w:iCs/>
                <w:color w:val="4B4746" w:themeColor="text1"/>
              </w:rPr>
            </w:pPr>
            <w:r w:rsidRPr="003F7378">
              <w:rPr>
                <w:i/>
                <w:iCs/>
                <w:color w:val="4B4746" w:themeColor="text1"/>
              </w:rPr>
              <w:t xml:space="preserve">The entity is a going concern, but events or conditions have been identified which constitute a material </w:t>
            </w:r>
            <w:proofErr w:type="gramStart"/>
            <w:r w:rsidRPr="003F7378">
              <w:rPr>
                <w:i/>
                <w:iCs/>
                <w:color w:val="4B4746" w:themeColor="text1"/>
              </w:rPr>
              <w:t>uncertainty</w:t>
            </w:r>
            <w:proofErr w:type="gramEnd"/>
          </w:p>
          <w:p w14:paraId="26D94283" w14:textId="77777777" w:rsidR="003F7378" w:rsidRPr="004A2E2D" w:rsidRDefault="003F7378" w:rsidP="004A2E2D">
            <w:pPr>
              <w:pStyle w:val="ListBullet"/>
              <w:numPr>
                <w:ilvl w:val="0"/>
                <w:numId w:val="18"/>
              </w:numPr>
              <w:ind w:left="447"/>
              <w:rPr>
                <w:color w:val="4B4746" w:themeColor="text1"/>
              </w:rPr>
            </w:pPr>
            <w:r w:rsidRPr="003F7378">
              <w:rPr>
                <w:i/>
                <w:iCs/>
                <w:color w:val="4B4746" w:themeColor="text1"/>
              </w:rPr>
              <w:t xml:space="preserve">The entity is not a going concern, and the accounts have been prepared on a basis other than going </w:t>
            </w:r>
            <w:proofErr w:type="gramStart"/>
            <w:r w:rsidRPr="003F7378">
              <w:rPr>
                <w:i/>
                <w:iCs/>
                <w:color w:val="4B4746" w:themeColor="text1"/>
              </w:rPr>
              <w:t>concern</w:t>
            </w:r>
            <w:proofErr w:type="gramEnd"/>
          </w:p>
          <w:p w14:paraId="77D9519C" w14:textId="77777777" w:rsidR="004A2E2D" w:rsidRPr="003F7378" w:rsidRDefault="004A2E2D" w:rsidP="004A2E2D">
            <w:pPr>
              <w:pStyle w:val="ListBullet"/>
              <w:numPr>
                <w:ilvl w:val="0"/>
                <w:numId w:val="0"/>
              </w:numPr>
              <w:ind w:left="447"/>
              <w:rPr>
                <w:color w:val="4B4746" w:themeColor="text1"/>
              </w:rPr>
            </w:pPr>
          </w:p>
        </w:tc>
        <w:tc>
          <w:tcPr>
            <w:tcW w:w="6096" w:type="dxa"/>
          </w:tcPr>
          <w:p w14:paraId="671CCC73" w14:textId="77777777" w:rsidR="003F7378" w:rsidRPr="003F7378" w:rsidRDefault="003F7378" w:rsidP="003F7378">
            <w:pPr>
              <w:pStyle w:val="ListBullet"/>
              <w:numPr>
                <w:ilvl w:val="0"/>
                <w:numId w:val="0"/>
              </w:numPr>
              <w:ind w:left="720"/>
              <w:rPr>
                <w:color w:val="4B4746" w:themeColor="text1"/>
              </w:rPr>
            </w:pPr>
          </w:p>
        </w:tc>
      </w:tr>
      <w:tr w:rsidR="003F7378" w:rsidRPr="003F7378" w14:paraId="68E01628" w14:textId="77777777" w:rsidTr="00B51A3D">
        <w:tc>
          <w:tcPr>
            <w:tcW w:w="6232" w:type="dxa"/>
          </w:tcPr>
          <w:p w14:paraId="5A56B5D3" w14:textId="77777777" w:rsidR="003F7378" w:rsidRDefault="003F7378" w:rsidP="004A2E2D">
            <w:pPr>
              <w:pStyle w:val="ListBullet"/>
              <w:numPr>
                <w:ilvl w:val="0"/>
                <w:numId w:val="15"/>
              </w:numPr>
              <w:ind w:left="447"/>
              <w:rPr>
                <w:color w:val="4B4746" w:themeColor="text1"/>
              </w:rPr>
            </w:pPr>
            <w:r w:rsidRPr="003F7378">
              <w:rPr>
                <w:color w:val="4B4746" w:themeColor="text1"/>
              </w:rPr>
              <w:t xml:space="preserve">How have you assured yourself that appropriate disclosure related to going concern has been included in the financial statements? Has any additional disclosure been deemed </w:t>
            </w:r>
            <w:r w:rsidRPr="003F7378">
              <w:rPr>
                <w:color w:val="4B4746" w:themeColor="text1"/>
              </w:rPr>
              <w:lastRenderedPageBreak/>
              <w:t xml:space="preserve">necessary </w:t>
            </w:r>
            <w:proofErr w:type="gramStart"/>
            <w:r w:rsidRPr="003F7378">
              <w:rPr>
                <w:color w:val="4B4746" w:themeColor="text1"/>
              </w:rPr>
              <w:t>in order to</w:t>
            </w:r>
            <w:proofErr w:type="gramEnd"/>
            <w:r w:rsidRPr="003F7378">
              <w:rPr>
                <w:color w:val="4B4746" w:themeColor="text1"/>
              </w:rPr>
              <w:t xml:space="preserve"> give a true and fair view of the financial statements?</w:t>
            </w:r>
          </w:p>
          <w:p w14:paraId="4B8A4D1F" w14:textId="77777777" w:rsidR="004A2E2D" w:rsidRPr="003F7378" w:rsidRDefault="004A2E2D" w:rsidP="004A2E2D">
            <w:pPr>
              <w:pStyle w:val="ListBullet"/>
              <w:numPr>
                <w:ilvl w:val="0"/>
                <w:numId w:val="0"/>
              </w:numPr>
              <w:ind w:left="447"/>
              <w:rPr>
                <w:color w:val="4B4746" w:themeColor="text1"/>
              </w:rPr>
            </w:pPr>
          </w:p>
        </w:tc>
        <w:tc>
          <w:tcPr>
            <w:tcW w:w="6096" w:type="dxa"/>
          </w:tcPr>
          <w:p w14:paraId="13BD8691" w14:textId="77777777" w:rsidR="003F7378" w:rsidRPr="003F7378" w:rsidRDefault="003F7378" w:rsidP="003F7378">
            <w:pPr>
              <w:pStyle w:val="ListBullet"/>
              <w:numPr>
                <w:ilvl w:val="0"/>
                <w:numId w:val="0"/>
              </w:numPr>
              <w:ind w:left="720"/>
              <w:rPr>
                <w:color w:val="4B4746" w:themeColor="text1"/>
              </w:rPr>
            </w:pPr>
          </w:p>
        </w:tc>
      </w:tr>
    </w:tbl>
    <w:p w14:paraId="77BEE02F" w14:textId="77777777" w:rsidR="00741476" w:rsidRDefault="00741476" w:rsidP="003F7378">
      <w:pPr>
        <w:pStyle w:val="ListBullet"/>
        <w:numPr>
          <w:ilvl w:val="0"/>
          <w:numId w:val="0"/>
        </w:numPr>
        <w:ind w:left="360" w:hanging="360"/>
      </w:pPr>
    </w:p>
    <w:p w14:paraId="70AB5B3D" w14:textId="77777777" w:rsidR="00B008F1" w:rsidRDefault="00B008F1" w:rsidP="00B008F1">
      <w:pPr>
        <w:spacing w:after="0"/>
        <w:sectPr w:rsidR="00B008F1" w:rsidSect="00B008F1">
          <w:headerReference w:type="default" r:id="rId16"/>
          <w:pgSz w:w="16838" w:h="11906" w:orient="landscape"/>
          <w:pgMar w:top="1974" w:right="3499" w:bottom="590" w:left="581" w:header="0" w:footer="0" w:gutter="0"/>
          <w:cols w:space="708"/>
          <w:titlePg/>
          <w:docGrid w:linePitch="360"/>
        </w:sectPr>
      </w:pPr>
    </w:p>
    <w:p w14:paraId="78D83036" w14:textId="77777777" w:rsidR="00B008F1" w:rsidRDefault="00B008F1" w:rsidP="00B008F1">
      <w:pPr>
        <w:spacing w:after="0"/>
      </w:pPr>
      <w:r>
        <w:br w:type="page"/>
      </w:r>
    </w:p>
    <w:p w14:paraId="18BE8DF7" w14:textId="77777777" w:rsidR="00414CDC" w:rsidRPr="00214BBC" w:rsidRDefault="00414CDC" w:rsidP="00414CDC">
      <w:pPr>
        <w:pStyle w:val="SectionTitle"/>
      </w:pPr>
      <w:bookmarkStart w:id="3" w:name="_Toc131099422"/>
      <w:r>
        <w:lastRenderedPageBreak/>
        <w:t>Appendix</w:t>
      </w:r>
      <w:bookmarkEnd w:id="3"/>
    </w:p>
    <w:p w14:paraId="61590A6E" w14:textId="77777777" w:rsidR="00414CDC" w:rsidRDefault="00414CDC" w:rsidP="00663E4A"/>
    <w:p w14:paraId="2FF205AA" w14:textId="77777777" w:rsidR="00414CDC" w:rsidRDefault="00414CDC" w:rsidP="00663E4A">
      <w:pPr>
        <w:sectPr w:rsidR="00414CDC" w:rsidSect="00B008F1">
          <w:headerReference w:type="default" r:id="rId17"/>
          <w:type w:val="continuous"/>
          <w:pgSz w:w="16838" w:h="11906" w:orient="landscape"/>
          <w:pgMar w:top="0" w:right="3513" w:bottom="590" w:left="567" w:header="0" w:footer="0" w:gutter="0"/>
          <w:cols w:space="708"/>
          <w:titlePg/>
          <w:docGrid w:linePitch="360"/>
        </w:sectPr>
      </w:pPr>
    </w:p>
    <w:p w14:paraId="72D00D37" w14:textId="77777777" w:rsidR="00414CDC" w:rsidRPr="004A2E2D" w:rsidRDefault="003F7378" w:rsidP="00AF5378">
      <w:pPr>
        <w:pStyle w:val="Title"/>
      </w:pPr>
      <w:r w:rsidRPr="004A2E2D">
        <w:lastRenderedPageBreak/>
        <w:t>Examples of events or conditions</w:t>
      </w:r>
    </w:p>
    <w:p w14:paraId="3297FB9B" w14:textId="77777777" w:rsidR="003F7378" w:rsidRDefault="003F7378" w:rsidP="003F7378">
      <w:pPr>
        <w:rPr>
          <w:color w:val="4B4746" w:themeColor="text1"/>
        </w:rPr>
      </w:pPr>
      <w:r w:rsidRPr="004A2E2D">
        <w:rPr>
          <w:color w:val="4B4746" w:themeColor="text1"/>
        </w:rPr>
        <w:t>The following are examples of events or conditions that, individually or collectively, may cast significant doubt on the entity's ability to continue as a going concern. This listing is not exhaustive nor does the existence of one or more of the items always signify that a material uncertainty related to going concern exists. But the list can be used to help identify if there are any events or conditions present that may have been missed during the risk assessment process.</w:t>
      </w:r>
    </w:p>
    <w:p w14:paraId="0B9C3045" w14:textId="77777777" w:rsidR="004A2E2D" w:rsidRPr="004A2E2D" w:rsidRDefault="004A2E2D" w:rsidP="003F7378">
      <w:pPr>
        <w:rPr>
          <w:color w:val="4B4746" w:themeColor="text1"/>
        </w:rPr>
      </w:pPr>
    </w:p>
    <w:p w14:paraId="01F47B12" w14:textId="77777777" w:rsidR="003F7378" w:rsidRPr="004A2E2D" w:rsidRDefault="003F7378" w:rsidP="003F7378">
      <w:pPr>
        <w:rPr>
          <w:color w:val="4B4746" w:themeColor="text1"/>
        </w:rPr>
      </w:pPr>
      <w:r w:rsidRPr="004A2E2D">
        <w:rPr>
          <w:color w:val="4B4746" w:themeColor="text1"/>
        </w:rPr>
        <w:t>It is important to note, that when considering events or conditions that have occurred, it is vital that their impact is not just considered in isolation, but also in aggregate.</w:t>
      </w:r>
    </w:p>
    <w:p w14:paraId="1B221744" w14:textId="77777777" w:rsidR="003F7378" w:rsidRPr="004A2E2D" w:rsidRDefault="003F7378" w:rsidP="003F7378">
      <w:pPr>
        <w:rPr>
          <w:color w:val="4B4746" w:themeColor="text1"/>
        </w:rPr>
      </w:pPr>
    </w:p>
    <w:p w14:paraId="05E34840" w14:textId="77777777" w:rsidR="003F7378" w:rsidRPr="004A2E2D" w:rsidRDefault="003F7378" w:rsidP="004A2E2D">
      <w:pPr>
        <w:pStyle w:val="Subtitle"/>
      </w:pPr>
      <w:r w:rsidRPr="004A2E2D">
        <w:t>Financial</w:t>
      </w:r>
    </w:p>
    <w:p w14:paraId="7B5780BC" w14:textId="77777777" w:rsidR="003F7378" w:rsidRPr="004A2E2D" w:rsidRDefault="003F7378" w:rsidP="004A2E2D">
      <w:pPr>
        <w:pStyle w:val="ListParagraph"/>
        <w:numPr>
          <w:ilvl w:val="0"/>
          <w:numId w:val="21"/>
        </w:numPr>
        <w:rPr>
          <w:color w:val="4B4746" w:themeColor="text1"/>
        </w:rPr>
      </w:pPr>
      <w:r w:rsidRPr="004A2E2D">
        <w:rPr>
          <w:color w:val="4B4746" w:themeColor="text1"/>
        </w:rPr>
        <w:t>Net liability or net current liability position.</w:t>
      </w:r>
    </w:p>
    <w:p w14:paraId="66F2A30E" w14:textId="77777777" w:rsidR="003F7378" w:rsidRPr="004A2E2D" w:rsidRDefault="003F7378" w:rsidP="004A2E2D">
      <w:pPr>
        <w:pStyle w:val="ListParagraph"/>
        <w:numPr>
          <w:ilvl w:val="0"/>
          <w:numId w:val="21"/>
        </w:numPr>
        <w:rPr>
          <w:color w:val="4B4746" w:themeColor="text1"/>
        </w:rPr>
      </w:pPr>
      <w:r w:rsidRPr="004A2E2D">
        <w:rPr>
          <w:color w:val="4B4746" w:themeColor="text1"/>
        </w:rPr>
        <w:t>Fixed-term borrowings approaching maturity without realistic prospects of renewal or repayment; or excessive reliance on short-term borrowings to finance long-term assets.</w:t>
      </w:r>
    </w:p>
    <w:p w14:paraId="05664C8C" w14:textId="77777777" w:rsidR="003F7378" w:rsidRPr="004A2E2D" w:rsidRDefault="003F7378" w:rsidP="004A2E2D">
      <w:pPr>
        <w:pStyle w:val="ListParagraph"/>
        <w:numPr>
          <w:ilvl w:val="0"/>
          <w:numId w:val="21"/>
        </w:numPr>
        <w:rPr>
          <w:color w:val="4B4746" w:themeColor="text1"/>
        </w:rPr>
      </w:pPr>
      <w:r w:rsidRPr="004A2E2D">
        <w:rPr>
          <w:color w:val="4B4746" w:themeColor="text1"/>
        </w:rPr>
        <w:t>Indications of withdrawal of financial support by creditors.</w:t>
      </w:r>
    </w:p>
    <w:p w14:paraId="40933F05" w14:textId="77777777" w:rsidR="003F7378" w:rsidRPr="004A2E2D" w:rsidRDefault="003F7378" w:rsidP="004A2E2D">
      <w:pPr>
        <w:pStyle w:val="ListParagraph"/>
        <w:numPr>
          <w:ilvl w:val="0"/>
          <w:numId w:val="21"/>
        </w:numPr>
        <w:rPr>
          <w:color w:val="4B4746" w:themeColor="text1"/>
        </w:rPr>
      </w:pPr>
      <w:r w:rsidRPr="004A2E2D">
        <w:rPr>
          <w:color w:val="4B4746" w:themeColor="text1"/>
        </w:rPr>
        <w:t>Negative operating cash flows indicated by historical or prospective financial statements.</w:t>
      </w:r>
    </w:p>
    <w:p w14:paraId="6BE58A71" w14:textId="77777777" w:rsidR="003F7378" w:rsidRPr="004A2E2D" w:rsidRDefault="003F7378" w:rsidP="004A2E2D">
      <w:pPr>
        <w:pStyle w:val="ListParagraph"/>
        <w:numPr>
          <w:ilvl w:val="0"/>
          <w:numId w:val="21"/>
        </w:numPr>
        <w:rPr>
          <w:color w:val="4B4746" w:themeColor="text1"/>
        </w:rPr>
      </w:pPr>
      <w:r w:rsidRPr="004A2E2D">
        <w:rPr>
          <w:color w:val="4B4746" w:themeColor="text1"/>
        </w:rPr>
        <w:t>Adverse key financial ratios.</w:t>
      </w:r>
    </w:p>
    <w:p w14:paraId="5FFCF2E8" w14:textId="77777777" w:rsidR="003F7378" w:rsidRPr="004A2E2D" w:rsidRDefault="003F7378" w:rsidP="004A2E2D">
      <w:pPr>
        <w:pStyle w:val="ListParagraph"/>
        <w:numPr>
          <w:ilvl w:val="0"/>
          <w:numId w:val="21"/>
        </w:numPr>
        <w:rPr>
          <w:color w:val="4B4746" w:themeColor="text1"/>
        </w:rPr>
      </w:pPr>
      <w:r w:rsidRPr="004A2E2D">
        <w:rPr>
          <w:color w:val="4B4746" w:themeColor="text1"/>
        </w:rPr>
        <w:t>Substantial operating losses or significant deterioration in the value of assets used to generate cash flows.</w:t>
      </w:r>
    </w:p>
    <w:p w14:paraId="05FF90D1" w14:textId="77777777" w:rsidR="003F7378" w:rsidRPr="004A2E2D" w:rsidRDefault="003F7378" w:rsidP="004A2E2D">
      <w:pPr>
        <w:pStyle w:val="ListParagraph"/>
        <w:numPr>
          <w:ilvl w:val="0"/>
          <w:numId w:val="21"/>
        </w:numPr>
        <w:rPr>
          <w:color w:val="4B4746" w:themeColor="text1"/>
        </w:rPr>
      </w:pPr>
      <w:r w:rsidRPr="004A2E2D">
        <w:rPr>
          <w:color w:val="4B4746" w:themeColor="text1"/>
        </w:rPr>
        <w:t>Arrears or discontinuance of dividends.</w:t>
      </w:r>
    </w:p>
    <w:p w14:paraId="38634FEF" w14:textId="77777777" w:rsidR="003F7378" w:rsidRPr="004A2E2D" w:rsidRDefault="003F7378" w:rsidP="004A2E2D">
      <w:pPr>
        <w:pStyle w:val="ListParagraph"/>
        <w:numPr>
          <w:ilvl w:val="0"/>
          <w:numId w:val="21"/>
        </w:numPr>
        <w:rPr>
          <w:color w:val="4B4746" w:themeColor="text1"/>
        </w:rPr>
      </w:pPr>
      <w:r w:rsidRPr="004A2E2D">
        <w:rPr>
          <w:color w:val="4B4746" w:themeColor="text1"/>
        </w:rPr>
        <w:t>Inability to pay creditors on due dates.</w:t>
      </w:r>
    </w:p>
    <w:p w14:paraId="54FE4B88" w14:textId="77777777" w:rsidR="003F7378" w:rsidRPr="004A2E2D" w:rsidRDefault="003F7378" w:rsidP="004A2E2D">
      <w:pPr>
        <w:pStyle w:val="ListParagraph"/>
        <w:numPr>
          <w:ilvl w:val="0"/>
          <w:numId w:val="21"/>
        </w:numPr>
        <w:rPr>
          <w:color w:val="4B4746" w:themeColor="text1"/>
        </w:rPr>
      </w:pPr>
      <w:r w:rsidRPr="004A2E2D">
        <w:rPr>
          <w:color w:val="4B4746" w:themeColor="text1"/>
        </w:rPr>
        <w:t>Inability to comply with the terms of loan agreements.</w:t>
      </w:r>
    </w:p>
    <w:p w14:paraId="3AA473BA" w14:textId="77777777" w:rsidR="003F7378" w:rsidRPr="004A2E2D" w:rsidRDefault="003F7378" w:rsidP="004A2E2D">
      <w:pPr>
        <w:pStyle w:val="ListParagraph"/>
        <w:numPr>
          <w:ilvl w:val="0"/>
          <w:numId w:val="21"/>
        </w:numPr>
        <w:rPr>
          <w:color w:val="4B4746" w:themeColor="text1"/>
        </w:rPr>
      </w:pPr>
      <w:r w:rsidRPr="004A2E2D">
        <w:rPr>
          <w:color w:val="4B4746" w:themeColor="text1"/>
        </w:rPr>
        <w:t>Change from credit to cash-on-delivery transactions with suppliers.</w:t>
      </w:r>
    </w:p>
    <w:p w14:paraId="51F87FCF" w14:textId="77777777" w:rsidR="003F7378" w:rsidRPr="004A2E2D" w:rsidRDefault="003F7378" w:rsidP="004A2E2D">
      <w:pPr>
        <w:pStyle w:val="ListParagraph"/>
        <w:numPr>
          <w:ilvl w:val="0"/>
          <w:numId w:val="21"/>
        </w:numPr>
        <w:rPr>
          <w:color w:val="4B4746" w:themeColor="text1"/>
        </w:rPr>
      </w:pPr>
      <w:r w:rsidRPr="004A2E2D">
        <w:rPr>
          <w:color w:val="4B4746" w:themeColor="text1"/>
        </w:rPr>
        <w:t>Inability to obtain financing for essential new product development or other essential investments.</w:t>
      </w:r>
    </w:p>
    <w:p w14:paraId="454C0EDA" w14:textId="77777777" w:rsidR="003F7378" w:rsidRPr="004A2E2D" w:rsidRDefault="003F7378" w:rsidP="004A2E2D">
      <w:pPr>
        <w:pStyle w:val="ListParagraph"/>
        <w:numPr>
          <w:ilvl w:val="0"/>
          <w:numId w:val="21"/>
        </w:numPr>
        <w:rPr>
          <w:color w:val="4B4746" w:themeColor="text1"/>
        </w:rPr>
      </w:pPr>
      <w:r w:rsidRPr="004A2E2D">
        <w:rPr>
          <w:color w:val="4B4746" w:themeColor="text1"/>
        </w:rPr>
        <w:t>Breaches, or forecast breaches, of financial or other covenants imposed by lenders.</w:t>
      </w:r>
    </w:p>
    <w:p w14:paraId="11E29531" w14:textId="77777777" w:rsidR="003F7378" w:rsidRPr="004A2E2D" w:rsidRDefault="003F7378" w:rsidP="003F7378">
      <w:pPr>
        <w:rPr>
          <w:color w:val="4B4746" w:themeColor="text1"/>
        </w:rPr>
      </w:pPr>
      <w:r w:rsidRPr="004A2E2D">
        <w:rPr>
          <w:color w:val="4B4746" w:themeColor="text1"/>
        </w:rPr>
        <w:t xml:space="preserve"> </w:t>
      </w:r>
    </w:p>
    <w:p w14:paraId="3C824408" w14:textId="77777777" w:rsidR="003F7378" w:rsidRPr="004A2E2D" w:rsidRDefault="003F7378" w:rsidP="004A2E2D">
      <w:pPr>
        <w:pStyle w:val="Subtitle"/>
      </w:pPr>
      <w:r w:rsidRPr="004A2E2D">
        <w:lastRenderedPageBreak/>
        <w:t>Operating</w:t>
      </w:r>
    </w:p>
    <w:p w14:paraId="6C78A877" w14:textId="77777777" w:rsidR="003F7378" w:rsidRPr="004A2E2D" w:rsidRDefault="003F7378" w:rsidP="004A2E2D">
      <w:pPr>
        <w:pStyle w:val="ListParagraph"/>
        <w:numPr>
          <w:ilvl w:val="0"/>
          <w:numId w:val="20"/>
        </w:numPr>
        <w:rPr>
          <w:color w:val="4B4746" w:themeColor="text1"/>
        </w:rPr>
      </w:pPr>
      <w:r w:rsidRPr="004A2E2D">
        <w:rPr>
          <w:color w:val="4B4746" w:themeColor="text1"/>
        </w:rPr>
        <w:t>Management intentions to liquidate the entity or to cease operations.</w:t>
      </w:r>
    </w:p>
    <w:p w14:paraId="6BE3DAF5" w14:textId="77777777" w:rsidR="003F7378" w:rsidRPr="004A2E2D" w:rsidRDefault="003F7378" w:rsidP="004A2E2D">
      <w:pPr>
        <w:pStyle w:val="ListParagraph"/>
        <w:numPr>
          <w:ilvl w:val="0"/>
          <w:numId w:val="20"/>
        </w:numPr>
        <w:rPr>
          <w:color w:val="4B4746" w:themeColor="text1"/>
        </w:rPr>
      </w:pPr>
      <w:r w:rsidRPr="004A2E2D">
        <w:rPr>
          <w:color w:val="4B4746" w:themeColor="text1"/>
        </w:rPr>
        <w:t>Loss of key management without replacement.</w:t>
      </w:r>
    </w:p>
    <w:p w14:paraId="1F53E16A" w14:textId="77777777" w:rsidR="003F7378" w:rsidRPr="004A2E2D" w:rsidRDefault="003F7378" w:rsidP="004A2E2D">
      <w:pPr>
        <w:pStyle w:val="ListParagraph"/>
        <w:numPr>
          <w:ilvl w:val="0"/>
          <w:numId w:val="20"/>
        </w:numPr>
        <w:rPr>
          <w:color w:val="4B4746" w:themeColor="text1"/>
        </w:rPr>
      </w:pPr>
      <w:r w:rsidRPr="004A2E2D">
        <w:rPr>
          <w:color w:val="4B4746" w:themeColor="text1"/>
        </w:rPr>
        <w:t>Loss of a major market, key customer(s), franchise, license, or principal supplier(s).</w:t>
      </w:r>
    </w:p>
    <w:p w14:paraId="6FFB7573" w14:textId="77777777" w:rsidR="003F7378" w:rsidRPr="004A2E2D" w:rsidRDefault="003F7378" w:rsidP="004A2E2D">
      <w:pPr>
        <w:pStyle w:val="ListParagraph"/>
        <w:numPr>
          <w:ilvl w:val="0"/>
          <w:numId w:val="20"/>
        </w:numPr>
        <w:rPr>
          <w:color w:val="4B4746" w:themeColor="text1"/>
        </w:rPr>
      </w:pPr>
      <w:r w:rsidRPr="004A2E2D">
        <w:rPr>
          <w:color w:val="4B4746" w:themeColor="text1"/>
        </w:rPr>
        <w:t>Labour difficulties.</w:t>
      </w:r>
    </w:p>
    <w:p w14:paraId="1CD5A3BB" w14:textId="77777777" w:rsidR="003F7378" w:rsidRPr="004A2E2D" w:rsidRDefault="003F7378" w:rsidP="004A2E2D">
      <w:pPr>
        <w:pStyle w:val="ListParagraph"/>
        <w:numPr>
          <w:ilvl w:val="0"/>
          <w:numId w:val="20"/>
        </w:numPr>
        <w:rPr>
          <w:color w:val="4B4746" w:themeColor="text1"/>
        </w:rPr>
      </w:pPr>
      <w:r w:rsidRPr="004A2E2D">
        <w:rPr>
          <w:color w:val="4B4746" w:themeColor="text1"/>
        </w:rPr>
        <w:t>Shortages of important supplies.</w:t>
      </w:r>
    </w:p>
    <w:p w14:paraId="4AF70696" w14:textId="77777777" w:rsidR="003F7378" w:rsidRPr="004A2E2D" w:rsidRDefault="003F7378" w:rsidP="004A2E2D">
      <w:pPr>
        <w:pStyle w:val="ListParagraph"/>
        <w:numPr>
          <w:ilvl w:val="0"/>
          <w:numId w:val="20"/>
        </w:numPr>
        <w:rPr>
          <w:color w:val="4B4746" w:themeColor="text1"/>
        </w:rPr>
      </w:pPr>
      <w:r w:rsidRPr="004A2E2D">
        <w:rPr>
          <w:color w:val="4B4746" w:themeColor="text1"/>
        </w:rPr>
        <w:t>Emergence of a highly successful competitor.</w:t>
      </w:r>
    </w:p>
    <w:p w14:paraId="01C4978A" w14:textId="77777777" w:rsidR="003F7378" w:rsidRPr="004A2E2D" w:rsidRDefault="003F7378" w:rsidP="003F7378">
      <w:pPr>
        <w:rPr>
          <w:color w:val="4B4746" w:themeColor="text1"/>
        </w:rPr>
      </w:pPr>
    </w:p>
    <w:p w14:paraId="6DF643F3" w14:textId="77777777" w:rsidR="003F7378" w:rsidRPr="004A2E2D" w:rsidRDefault="003F7378" w:rsidP="004A2E2D">
      <w:pPr>
        <w:pStyle w:val="Subtitle"/>
      </w:pPr>
      <w:r w:rsidRPr="004A2E2D">
        <w:t>Other</w:t>
      </w:r>
    </w:p>
    <w:p w14:paraId="1B99B1AD" w14:textId="77777777" w:rsidR="003F7378" w:rsidRPr="004A2E2D" w:rsidRDefault="003F7378" w:rsidP="004A2E2D">
      <w:pPr>
        <w:pStyle w:val="ListParagraph"/>
        <w:numPr>
          <w:ilvl w:val="0"/>
          <w:numId w:val="19"/>
        </w:numPr>
        <w:rPr>
          <w:color w:val="4B4746" w:themeColor="text1"/>
        </w:rPr>
      </w:pPr>
      <w:r w:rsidRPr="004A2E2D">
        <w:rPr>
          <w:color w:val="4B4746" w:themeColor="text1"/>
        </w:rPr>
        <w:t>Non-compliance with capital or other statutory or regulatory requirements, such as solvency or liquidity requirements for financial institutions.</w:t>
      </w:r>
    </w:p>
    <w:p w14:paraId="7241EFB8" w14:textId="77777777" w:rsidR="003F7378" w:rsidRPr="004A2E2D" w:rsidRDefault="003F7378" w:rsidP="004A2E2D">
      <w:pPr>
        <w:pStyle w:val="ListParagraph"/>
        <w:numPr>
          <w:ilvl w:val="0"/>
          <w:numId w:val="19"/>
        </w:numPr>
        <w:rPr>
          <w:color w:val="4B4746" w:themeColor="text1"/>
        </w:rPr>
      </w:pPr>
      <w:r w:rsidRPr="004A2E2D">
        <w:rPr>
          <w:color w:val="4B4746" w:themeColor="text1"/>
        </w:rPr>
        <w:t>Pending legal or regulatory proceedings against the entity that may, if successful, result in claims that the entity is unlikely to be able to satisfy.</w:t>
      </w:r>
    </w:p>
    <w:p w14:paraId="669656AF" w14:textId="77777777" w:rsidR="003F7378" w:rsidRPr="004A2E2D" w:rsidRDefault="003F7378" w:rsidP="004A2E2D">
      <w:pPr>
        <w:pStyle w:val="ListParagraph"/>
        <w:numPr>
          <w:ilvl w:val="0"/>
          <w:numId w:val="19"/>
        </w:numPr>
        <w:rPr>
          <w:color w:val="4B4746" w:themeColor="text1"/>
        </w:rPr>
      </w:pPr>
      <w:r w:rsidRPr="004A2E2D">
        <w:rPr>
          <w:color w:val="4B4746" w:themeColor="text1"/>
        </w:rPr>
        <w:t>Changes in law or regulation or government policy expected to adversely affect the entity.</w:t>
      </w:r>
    </w:p>
    <w:p w14:paraId="308866B2" w14:textId="77777777" w:rsidR="003F7378" w:rsidRPr="004A2E2D" w:rsidRDefault="003F7378" w:rsidP="004A2E2D">
      <w:pPr>
        <w:pStyle w:val="ListParagraph"/>
        <w:numPr>
          <w:ilvl w:val="0"/>
          <w:numId w:val="19"/>
        </w:numPr>
        <w:rPr>
          <w:color w:val="4B4746" w:themeColor="text1"/>
        </w:rPr>
      </w:pPr>
      <w:r w:rsidRPr="004A2E2D">
        <w:rPr>
          <w:color w:val="4B4746" w:themeColor="text1"/>
        </w:rPr>
        <w:t>Uninsured or underinsured catastrophes when they occur.</w:t>
      </w:r>
    </w:p>
    <w:p w14:paraId="7BD87C73" w14:textId="77777777" w:rsidR="003F7378" w:rsidRPr="004A2E2D" w:rsidRDefault="003F7378" w:rsidP="004A2E2D">
      <w:pPr>
        <w:pStyle w:val="ListParagraph"/>
        <w:numPr>
          <w:ilvl w:val="0"/>
          <w:numId w:val="19"/>
        </w:numPr>
        <w:rPr>
          <w:color w:val="4B4746" w:themeColor="text1"/>
        </w:rPr>
      </w:pPr>
      <w:r w:rsidRPr="004A2E2D">
        <w:rPr>
          <w:color w:val="4B4746" w:themeColor="text1"/>
        </w:rPr>
        <w:t>Substantial decrease in share price.</w:t>
      </w:r>
    </w:p>
    <w:p w14:paraId="3B2B340D" w14:textId="77777777" w:rsidR="00254210" w:rsidRDefault="00254210" w:rsidP="00663E4A">
      <w:pPr>
        <w:sectPr w:rsidR="00254210" w:rsidSect="00AF5378">
          <w:headerReference w:type="default" r:id="rId18"/>
          <w:headerReference w:type="first" r:id="rId19"/>
          <w:pgSz w:w="16838" w:h="11906" w:orient="landscape"/>
          <w:pgMar w:top="2247" w:right="3518" w:bottom="590" w:left="562" w:header="0" w:footer="0" w:gutter="0"/>
          <w:cols w:space="708"/>
          <w:titlePg/>
          <w:docGrid w:linePitch="360"/>
        </w:sectPr>
      </w:pPr>
    </w:p>
    <w:p w14:paraId="03789C56" w14:textId="77777777" w:rsidR="00254210" w:rsidRDefault="00254210">
      <w:pPr>
        <w:spacing w:after="0" w:line="240" w:lineRule="auto"/>
        <w:contextualSpacing w:val="0"/>
      </w:pPr>
      <w:r>
        <w:br w:type="page"/>
      </w:r>
    </w:p>
    <w:p w14:paraId="451238E7" w14:textId="77777777" w:rsidR="0017107D" w:rsidRDefault="0017107D" w:rsidP="00663E4A"/>
    <w:sectPr w:rsidR="0017107D" w:rsidSect="00254210">
      <w:headerReference w:type="default" r:id="rId20"/>
      <w:type w:val="continuous"/>
      <w:pgSz w:w="16838" w:h="11906" w:orient="landscape"/>
      <w:pgMar w:top="2247" w:right="3518" w:bottom="590" w:left="56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C35F8" w14:textId="77777777" w:rsidR="00502C2C" w:rsidRDefault="00502C2C" w:rsidP="009B3A1C">
      <w:pPr>
        <w:spacing w:after="0"/>
      </w:pPr>
      <w:r>
        <w:separator/>
      </w:r>
    </w:p>
  </w:endnote>
  <w:endnote w:type="continuationSeparator" w:id="0">
    <w:p w14:paraId="4649B090" w14:textId="77777777" w:rsidR="00502C2C" w:rsidRDefault="00502C2C" w:rsidP="009B3A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Light">
    <w:charset w:val="00"/>
    <w:family w:val="auto"/>
    <w:pitch w:val="variable"/>
    <w:sig w:usb0="80000027"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T Polar">
    <w:altName w:val="Calibri"/>
    <w:panose1 w:val="00000000000000000000"/>
    <w:charset w:val="00"/>
    <w:family w:val="modern"/>
    <w:notTrueType/>
    <w:pitch w:val="variable"/>
    <w:sig w:usb0="A00000EF" w:usb1="0000207A" w:usb2="00000000" w:usb3="00000000" w:csb0="00000093" w:csb1="00000000"/>
  </w:font>
  <w:font w:name="Times New Roman (Body CS)">
    <w:altName w:val="Times New Roman"/>
    <w:charset w:val="00"/>
    <w:family w:val="roman"/>
    <w:pitch w:val="default"/>
  </w:font>
  <w:font w:name="Times New Roman (Headings C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96357" w14:textId="77777777" w:rsidR="00502C2C" w:rsidRDefault="00502C2C" w:rsidP="009B3A1C">
      <w:pPr>
        <w:spacing w:after="0"/>
      </w:pPr>
      <w:r>
        <w:separator/>
      </w:r>
    </w:p>
  </w:footnote>
  <w:footnote w:type="continuationSeparator" w:id="0">
    <w:p w14:paraId="381C968F" w14:textId="77777777" w:rsidR="00502C2C" w:rsidRDefault="00502C2C" w:rsidP="009B3A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ADAC" w14:textId="77777777" w:rsidR="00B275CE" w:rsidRDefault="00207D3A">
    <w:pPr>
      <w:pStyle w:val="Header"/>
    </w:pPr>
    <w:r>
      <w:rPr>
        <w:noProof/>
      </w:rPr>
      <w:drawing>
        <wp:anchor distT="0" distB="0" distL="114300" distR="114300" simplePos="0" relativeHeight="251704320" behindDoc="1" locked="0" layoutInCell="1" allowOverlap="1" wp14:anchorId="54BE332E" wp14:editId="1FBE6001">
          <wp:simplePos x="0" y="0"/>
          <wp:positionH relativeFrom="page">
            <wp:posOffset>-6342</wp:posOffset>
          </wp:positionH>
          <wp:positionV relativeFrom="page">
            <wp:posOffset>1860</wp:posOffset>
          </wp:positionV>
          <wp:extent cx="10692000" cy="7555510"/>
          <wp:effectExtent l="0" t="0" r="190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5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B9E35" w14:textId="77777777" w:rsidR="00414CDC" w:rsidRDefault="00414CDC">
    <w:pPr>
      <w:pStyle w:val="Header"/>
    </w:pPr>
    <w:r>
      <w:rPr>
        <w:noProof/>
        <w:lang w:eastAsia="en-GB"/>
      </w:rPr>
      <w:drawing>
        <wp:anchor distT="0" distB="0" distL="114300" distR="114300" simplePos="0" relativeHeight="251699200" behindDoc="1" locked="0" layoutInCell="1" allowOverlap="1" wp14:anchorId="5594EEAA" wp14:editId="4D94E3AC">
          <wp:simplePos x="0" y="0"/>
          <wp:positionH relativeFrom="page">
            <wp:align>left</wp:align>
          </wp:positionH>
          <wp:positionV relativeFrom="page">
            <wp:align>top</wp:align>
          </wp:positionV>
          <wp:extent cx="10692000" cy="7555510"/>
          <wp:effectExtent l="0" t="0" r="1905" b="127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5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0FF7" w14:textId="77777777" w:rsidR="0042748F" w:rsidRDefault="0042748F">
    <w:pPr>
      <w:pStyle w:val="Header"/>
    </w:pPr>
    <w:r>
      <w:rPr>
        <w:noProof/>
        <w:lang w:eastAsia="en-GB"/>
      </w:rPr>
      <w:drawing>
        <wp:anchor distT="0" distB="0" distL="114300" distR="114300" simplePos="0" relativeHeight="251721728" behindDoc="1" locked="0" layoutInCell="1" allowOverlap="1" wp14:anchorId="63EF173F" wp14:editId="665BBCF4">
          <wp:simplePos x="0" y="0"/>
          <wp:positionH relativeFrom="page">
            <wp:align>left</wp:align>
          </wp:positionH>
          <wp:positionV relativeFrom="page">
            <wp:align>top</wp:align>
          </wp:positionV>
          <wp:extent cx="10691999" cy="7555510"/>
          <wp:effectExtent l="0" t="0" r="190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691999" cy="7555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CEB3E" w14:textId="77777777" w:rsidR="00214BBC" w:rsidRDefault="0053590C">
    <w:pPr>
      <w:pStyle w:val="Header"/>
    </w:pPr>
    <w:r>
      <w:rPr>
        <w:noProof/>
        <w:lang w:eastAsia="en-GB"/>
      </w:rPr>
      <w:drawing>
        <wp:anchor distT="0" distB="0" distL="114300" distR="114300" simplePos="0" relativeHeight="251703296" behindDoc="1" locked="0" layoutInCell="1" allowOverlap="1" wp14:anchorId="6575C1B4" wp14:editId="71951132">
          <wp:simplePos x="0" y="0"/>
          <wp:positionH relativeFrom="page">
            <wp:align>left</wp:align>
          </wp:positionH>
          <wp:positionV relativeFrom="page">
            <wp:align>top</wp:align>
          </wp:positionV>
          <wp:extent cx="10680402" cy="756000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
                    <a:extLst>
                      <a:ext uri="{28A0092B-C50C-407E-A947-70E740481C1C}">
                        <a14:useLocalDpi xmlns:a14="http://schemas.microsoft.com/office/drawing/2010/main" val="0"/>
                      </a:ext>
                    </a:extLst>
                  </a:blip>
                  <a:stretch>
                    <a:fillRect/>
                  </a:stretch>
                </pic:blipFill>
                <pic:spPr>
                  <a:xfrm>
                    <a:off x="0" y="0"/>
                    <a:ext cx="10680402" cy="7560000"/>
                  </a:xfrm>
                  <a:prstGeom prst="rect">
                    <a:avLst/>
                  </a:prstGeom>
                </pic:spPr>
              </pic:pic>
            </a:graphicData>
          </a:graphic>
          <wp14:sizeRelH relativeFrom="margin">
            <wp14:pctWidth>0</wp14:pctWidth>
          </wp14:sizeRelH>
          <wp14:sizeRelV relativeFrom="margin">
            <wp14:pctHeight>0</wp14:pctHeight>
          </wp14:sizeRelV>
        </wp:anchor>
      </w:drawing>
    </w:r>
    <w:r w:rsidR="00A66FC9">
      <w:rPr>
        <w:noProof/>
        <w:lang w:eastAsia="en-GB"/>
      </w:rPr>
      <w:drawing>
        <wp:anchor distT="0" distB="0" distL="114300" distR="114300" simplePos="0" relativeHeight="251702272" behindDoc="1" locked="0" layoutInCell="1" allowOverlap="1" wp14:anchorId="7EC1A033" wp14:editId="652BBA3D">
          <wp:simplePos x="0" y="0"/>
          <wp:positionH relativeFrom="page">
            <wp:align>left</wp:align>
          </wp:positionH>
          <wp:positionV relativeFrom="page">
            <wp:align>top</wp:align>
          </wp:positionV>
          <wp:extent cx="7559040" cy="106832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2">
                    <a:extLst>
                      <a:ext uri="{28A0092B-C50C-407E-A947-70E740481C1C}">
                        <a14:useLocalDpi xmlns:a14="http://schemas.microsoft.com/office/drawing/2010/main" val="0"/>
                      </a:ext>
                    </a:extLst>
                  </a:blip>
                  <a:srcRect l="52636" t="1" r="194" b="1"/>
                  <a:stretch/>
                </pic:blipFill>
                <pic:spPr bwMode="auto">
                  <a:xfrm>
                    <a:off x="0" y="0"/>
                    <a:ext cx="7559794" cy="1068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C97B31" w14:textId="77777777" w:rsidR="003C1D95" w:rsidRDefault="003C1D95">
    <w:pPr>
      <w:pStyle w:val="Header"/>
    </w:pPr>
  </w:p>
  <w:p w14:paraId="1288068E" w14:textId="77777777" w:rsidR="003C1D95" w:rsidRDefault="003C1D95">
    <w:pPr>
      <w:pStyle w:val="Header"/>
    </w:pPr>
  </w:p>
  <w:p w14:paraId="077043E4" w14:textId="77777777" w:rsidR="003C1D95" w:rsidRDefault="003C1D95">
    <w:pPr>
      <w:pStyle w:val="Header"/>
    </w:pPr>
  </w:p>
  <w:p w14:paraId="78E92E2F" w14:textId="77777777" w:rsidR="003C1D95" w:rsidRDefault="003C1D95">
    <w:pPr>
      <w:pStyle w:val="Header"/>
    </w:pPr>
  </w:p>
  <w:p w14:paraId="249DAF4C" w14:textId="77777777" w:rsidR="003C1D95" w:rsidRDefault="003C1D95">
    <w:pPr>
      <w:pStyle w:val="Header"/>
    </w:pPr>
  </w:p>
  <w:p w14:paraId="505AB194" w14:textId="77777777" w:rsidR="003C1D95" w:rsidRDefault="003C1D95">
    <w:pPr>
      <w:pStyle w:val="Header"/>
    </w:pPr>
  </w:p>
  <w:p w14:paraId="425B52BB" w14:textId="77777777" w:rsidR="003C1D95" w:rsidRDefault="003C1D95">
    <w:pPr>
      <w:pStyle w:val="Header"/>
    </w:pPr>
  </w:p>
  <w:p w14:paraId="4481B337" w14:textId="77777777" w:rsidR="001C1F69" w:rsidRDefault="001C1F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258F" w14:textId="77777777" w:rsidR="00214BBC" w:rsidRDefault="000573C4">
    <w:pPr>
      <w:pStyle w:val="Header"/>
    </w:pPr>
    <w:r>
      <w:rPr>
        <w:noProof/>
        <w:lang w:eastAsia="en-GB"/>
      </w:rPr>
      <w:drawing>
        <wp:anchor distT="0" distB="0" distL="114300" distR="114300" simplePos="0" relativeHeight="251668480" behindDoc="1" locked="0" layoutInCell="1" allowOverlap="1" wp14:anchorId="59949DC9" wp14:editId="357609E0">
          <wp:simplePos x="0" y="0"/>
          <wp:positionH relativeFrom="page">
            <wp:align>left</wp:align>
          </wp:positionH>
          <wp:positionV relativeFrom="page">
            <wp:align>top</wp:align>
          </wp:positionV>
          <wp:extent cx="10680402" cy="756000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10680402"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893D7" w14:textId="77777777" w:rsidR="003D7A12" w:rsidRDefault="003D7A12">
    <w:pPr>
      <w:pStyle w:val="Header"/>
    </w:pPr>
    <w:r>
      <w:rPr>
        <w:noProof/>
        <w:lang w:eastAsia="en-GB"/>
      </w:rPr>
      <w:drawing>
        <wp:anchor distT="0" distB="0" distL="114300" distR="114300" simplePos="0" relativeHeight="251670528" behindDoc="1" locked="0" layoutInCell="1" allowOverlap="1" wp14:anchorId="0C65B8C2" wp14:editId="356DB0E9">
          <wp:simplePos x="0" y="0"/>
          <wp:positionH relativeFrom="page">
            <wp:posOffset>6791</wp:posOffset>
          </wp:positionH>
          <wp:positionV relativeFrom="page">
            <wp:posOffset>0</wp:posOffset>
          </wp:positionV>
          <wp:extent cx="10698352" cy="7560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10698352"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100B" w14:textId="77777777" w:rsidR="00B008F1" w:rsidRDefault="00EB5A7F">
    <w:pPr>
      <w:pStyle w:val="Header"/>
    </w:pPr>
    <w:r>
      <w:rPr>
        <w:noProof/>
        <w:lang w:eastAsia="en-GB"/>
      </w:rPr>
      <w:drawing>
        <wp:anchor distT="0" distB="0" distL="114300" distR="114300" simplePos="0" relativeHeight="251693056" behindDoc="1" locked="0" layoutInCell="1" allowOverlap="1" wp14:anchorId="4C28AA98" wp14:editId="4F255BCA">
          <wp:simplePos x="0" y="0"/>
          <wp:positionH relativeFrom="page">
            <wp:posOffset>10831830</wp:posOffset>
          </wp:positionH>
          <wp:positionV relativeFrom="page">
            <wp:posOffset>0</wp:posOffset>
          </wp:positionV>
          <wp:extent cx="10697845" cy="7559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extLst>
                      <a:ext uri="{28A0092B-C50C-407E-A947-70E740481C1C}">
                        <a14:useLocalDpi xmlns:a14="http://schemas.microsoft.com/office/drawing/2010/main" val="0"/>
                      </a:ext>
                    </a:extLst>
                  </a:blip>
                  <a:stretch>
                    <a:fillRect/>
                  </a:stretch>
                </pic:blipFill>
                <pic:spPr>
                  <a:xfrm>
                    <a:off x="0" y="0"/>
                    <a:ext cx="10697845" cy="7559675"/>
                  </a:xfrm>
                  <a:prstGeom prst="rect">
                    <a:avLst/>
                  </a:prstGeom>
                </pic:spPr>
              </pic:pic>
            </a:graphicData>
          </a:graphic>
          <wp14:sizeRelH relativeFrom="margin">
            <wp14:pctWidth>0</wp14:pctWidth>
          </wp14:sizeRelH>
          <wp14:sizeRelV relativeFrom="margin">
            <wp14:pctHeight>0</wp14:pctHeight>
          </wp14:sizeRelV>
        </wp:anchor>
      </w:drawing>
    </w:r>
    <w:r w:rsidR="00B008F1">
      <w:rPr>
        <w:noProof/>
        <w:lang w:eastAsia="en-GB"/>
      </w:rPr>
      <w:drawing>
        <wp:anchor distT="0" distB="0" distL="114300" distR="114300" simplePos="0" relativeHeight="251708416" behindDoc="1" locked="0" layoutInCell="1" allowOverlap="1" wp14:anchorId="673F34AA" wp14:editId="7ED44741">
          <wp:simplePos x="0" y="0"/>
          <wp:positionH relativeFrom="page">
            <wp:posOffset>-6336</wp:posOffset>
          </wp:positionH>
          <wp:positionV relativeFrom="page">
            <wp:posOffset>1858</wp:posOffset>
          </wp:positionV>
          <wp:extent cx="10681200" cy="754787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0681200" cy="7547878"/>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B479" w14:textId="77777777" w:rsidR="003742A2" w:rsidRDefault="003742A2">
    <w:pPr>
      <w:pStyle w:val="Header"/>
    </w:pPr>
    <w:r>
      <w:rPr>
        <w:noProof/>
        <w:lang w:eastAsia="en-GB"/>
      </w:rPr>
      <w:drawing>
        <wp:anchor distT="0" distB="0" distL="114300" distR="114300" simplePos="0" relativeHeight="251714560" behindDoc="1" locked="0" layoutInCell="1" allowOverlap="1" wp14:anchorId="30BE7F3A" wp14:editId="17239C3B">
          <wp:simplePos x="0" y="0"/>
          <wp:positionH relativeFrom="page">
            <wp:posOffset>8975</wp:posOffset>
          </wp:positionH>
          <wp:positionV relativeFrom="page">
            <wp:posOffset>0</wp:posOffset>
          </wp:positionV>
          <wp:extent cx="10680402" cy="75600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680402"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ADD3" w14:textId="77777777" w:rsidR="00D268CC" w:rsidRDefault="00D268CC">
    <w:pPr>
      <w:pStyle w:val="Header"/>
    </w:pPr>
    <w:r>
      <w:rPr>
        <w:noProof/>
        <w:lang w:eastAsia="en-GB"/>
      </w:rPr>
      <w:drawing>
        <wp:anchor distT="0" distB="0" distL="114300" distR="114300" simplePos="0" relativeHeight="251676672" behindDoc="1" locked="0" layoutInCell="1" allowOverlap="1" wp14:anchorId="4C2D33D6" wp14:editId="7D2A7F9E">
          <wp:simplePos x="0" y="0"/>
          <wp:positionH relativeFrom="page">
            <wp:posOffset>0</wp:posOffset>
          </wp:positionH>
          <wp:positionV relativeFrom="page">
            <wp:posOffset>6061</wp:posOffset>
          </wp:positionV>
          <wp:extent cx="10681200" cy="754787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10681200" cy="7547878"/>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1D196" w14:textId="77777777" w:rsidR="007113C0" w:rsidRDefault="007113C0">
    <w:pPr>
      <w:pStyle w:val="Header"/>
    </w:pPr>
    <w:r>
      <w:rPr>
        <w:noProof/>
        <w:lang w:eastAsia="en-GB"/>
      </w:rPr>
      <w:drawing>
        <wp:anchor distT="0" distB="0" distL="114300" distR="114300" simplePos="0" relativeHeight="251697152" behindDoc="1" locked="0" layoutInCell="1" allowOverlap="1" wp14:anchorId="626EB94C" wp14:editId="4CC77DD6">
          <wp:simplePos x="0" y="0"/>
          <wp:positionH relativeFrom="page">
            <wp:align>left</wp:align>
          </wp:positionH>
          <wp:positionV relativeFrom="page">
            <wp:align>top</wp:align>
          </wp:positionV>
          <wp:extent cx="10681200" cy="756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extLst>
                      <a:ext uri="{28A0092B-C50C-407E-A947-70E740481C1C}">
                        <a14:useLocalDpi xmlns:a14="http://schemas.microsoft.com/office/drawing/2010/main" val="0"/>
                      </a:ext>
                    </a:extLst>
                  </a:blip>
                  <a:stretch>
                    <a:fillRect/>
                  </a:stretch>
                </pic:blipFill>
                <pic:spPr>
                  <a:xfrm>
                    <a:off x="0" y="0"/>
                    <a:ext cx="10681200"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3602" w14:textId="77777777" w:rsidR="00414CDC" w:rsidRDefault="00414CDC">
    <w:pPr>
      <w:pStyle w:val="Header"/>
    </w:pPr>
    <w:r>
      <w:rPr>
        <w:noProof/>
        <w:lang w:eastAsia="en-GB"/>
      </w:rPr>
      <w:drawing>
        <wp:anchor distT="0" distB="0" distL="114300" distR="114300" simplePos="0" relativeHeight="251701248" behindDoc="1" locked="0" layoutInCell="1" allowOverlap="1" wp14:anchorId="1C3363CB" wp14:editId="7A882F8B">
          <wp:simplePos x="0" y="0"/>
          <wp:positionH relativeFrom="page">
            <wp:align>left</wp:align>
          </wp:positionH>
          <wp:positionV relativeFrom="page">
            <wp:align>top</wp:align>
          </wp:positionV>
          <wp:extent cx="10692000" cy="7555510"/>
          <wp:effectExtent l="0" t="0" r="1905" b="127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55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FCC8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E09E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92D2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95AE7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1EDC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188E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E6BF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F887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D8F7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14B1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EB43ED"/>
    <w:multiLevelType w:val="hybridMultilevel"/>
    <w:tmpl w:val="26CE044C"/>
    <w:lvl w:ilvl="0" w:tplc="86062A18">
      <w:start w:val="1"/>
      <w:numFmt w:val="bullet"/>
      <w:lvlText w:val="+"/>
      <w:lvlJc w:val="left"/>
      <w:pPr>
        <w:ind w:left="720" w:hanging="360"/>
      </w:pPr>
      <w:rPr>
        <w:rFonts w:ascii="Helvetica Light" w:hAnsi="Helvetica Light" w:hint="default"/>
        <w:color w:val="DC8B90"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6E3EC8"/>
    <w:multiLevelType w:val="hybridMultilevel"/>
    <w:tmpl w:val="9D346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027581"/>
    <w:multiLevelType w:val="hybridMultilevel"/>
    <w:tmpl w:val="5404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464D0"/>
    <w:multiLevelType w:val="hybridMultilevel"/>
    <w:tmpl w:val="C156BD02"/>
    <w:lvl w:ilvl="0" w:tplc="461284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5FD7423"/>
    <w:multiLevelType w:val="hybridMultilevel"/>
    <w:tmpl w:val="64D848B4"/>
    <w:lvl w:ilvl="0" w:tplc="86062A18">
      <w:start w:val="1"/>
      <w:numFmt w:val="bullet"/>
      <w:lvlText w:val="+"/>
      <w:lvlJc w:val="left"/>
      <w:pPr>
        <w:ind w:left="720" w:hanging="360"/>
      </w:pPr>
      <w:rPr>
        <w:rFonts w:ascii="Helvetica Light" w:hAnsi="Helvetica Light" w:hint="default"/>
        <w:color w:val="DC8B90"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9A21D4"/>
    <w:multiLevelType w:val="hybridMultilevel"/>
    <w:tmpl w:val="E258CB8E"/>
    <w:lvl w:ilvl="0" w:tplc="86062A18">
      <w:start w:val="1"/>
      <w:numFmt w:val="bullet"/>
      <w:lvlText w:val="+"/>
      <w:lvlJc w:val="left"/>
      <w:pPr>
        <w:ind w:left="720" w:hanging="360"/>
      </w:pPr>
      <w:rPr>
        <w:rFonts w:ascii="Helvetica Light" w:hAnsi="Helvetica Light" w:hint="default"/>
        <w:color w:val="DC8B90"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BF3B66"/>
    <w:multiLevelType w:val="hybridMultilevel"/>
    <w:tmpl w:val="B9405146"/>
    <w:lvl w:ilvl="0" w:tplc="CE2E3AB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9942D3A"/>
    <w:multiLevelType w:val="hybridMultilevel"/>
    <w:tmpl w:val="6A441D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A39665C"/>
    <w:multiLevelType w:val="hybridMultilevel"/>
    <w:tmpl w:val="49E64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343842"/>
    <w:multiLevelType w:val="hybridMultilevel"/>
    <w:tmpl w:val="BDA4C0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3903EF4"/>
    <w:multiLevelType w:val="hybridMultilevel"/>
    <w:tmpl w:val="D548DE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40927752">
    <w:abstractNumId w:val="0"/>
  </w:num>
  <w:num w:numId="2" w16cid:durableId="1834448590">
    <w:abstractNumId w:val="1"/>
  </w:num>
  <w:num w:numId="3" w16cid:durableId="413551464">
    <w:abstractNumId w:val="2"/>
  </w:num>
  <w:num w:numId="4" w16cid:durableId="489828547">
    <w:abstractNumId w:val="3"/>
  </w:num>
  <w:num w:numId="5" w16cid:durableId="1658000291">
    <w:abstractNumId w:val="8"/>
  </w:num>
  <w:num w:numId="6" w16cid:durableId="582371497">
    <w:abstractNumId w:val="4"/>
  </w:num>
  <w:num w:numId="7" w16cid:durableId="2119792968">
    <w:abstractNumId w:val="5"/>
  </w:num>
  <w:num w:numId="8" w16cid:durableId="159468355">
    <w:abstractNumId w:val="6"/>
  </w:num>
  <w:num w:numId="9" w16cid:durableId="2042392281">
    <w:abstractNumId w:val="7"/>
  </w:num>
  <w:num w:numId="10" w16cid:durableId="522399378">
    <w:abstractNumId w:val="9"/>
  </w:num>
  <w:num w:numId="11" w16cid:durableId="773285660">
    <w:abstractNumId w:val="10"/>
  </w:num>
  <w:num w:numId="12" w16cid:durableId="1503929768">
    <w:abstractNumId w:val="15"/>
  </w:num>
  <w:num w:numId="13" w16cid:durableId="1402948469">
    <w:abstractNumId w:val="14"/>
  </w:num>
  <w:num w:numId="14" w16cid:durableId="173422457">
    <w:abstractNumId w:val="16"/>
  </w:num>
  <w:num w:numId="15" w16cid:durableId="782654864">
    <w:abstractNumId w:val="13"/>
  </w:num>
  <w:num w:numId="16" w16cid:durableId="2009139109">
    <w:abstractNumId w:val="17"/>
  </w:num>
  <w:num w:numId="17" w16cid:durableId="1088692205">
    <w:abstractNumId w:val="20"/>
  </w:num>
  <w:num w:numId="18" w16cid:durableId="1724593454">
    <w:abstractNumId w:val="19"/>
  </w:num>
  <w:num w:numId="19" w16cid:durableId="1126659473">
    <w:abstractNumId w:val="12"/>
  </w:num>
  <w:num w:numId="20" w16cid:durableId="1532767108">
    <w:abstractNumId w:val="11"/>
  </w:num>
  <w:num w:numId="21" w16cid:durableId="19931773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72D"/>
    <w:rsid w:val="000179CA"/>
    <w:rsid w:val="00024FEC"/>
    <w:rsid w:val="000315E1"/>
    <w:rsid w:val="00031FA3"/>
    <w:rsid w:val="0004037F"/>
    <w:rsid w:val="000449CA"/>
    <w:rsid w:val="00054A20"/>
    <w:rsid w:val="00056D15"/>
    <w:rsid w:val="000573C4"/>
    <w:rsid w:val="00070214"/>
    <w:rsid w:val="00070C61"/>
    <w:rsid w:val="000763C4"/>
    <w:rsid w:val="000804FD"/>
    <w:rsid w:val="00087B03"/>
    <w:rsid w:val="00087F7F"/>
    <w:rsid w:val="00090E5B"/>
    <w:rsid w:val="00092584"/>
    <w:rsid w:val="000A2ED4"/>
    <w:rsid w:val="000B1BE1"/>
    <w:rsid w:val="000D3083"/>
    <w:rsid w:val="000E4593"/>
    <w:rsid w:val="000F6EFE"/>
    <w:rsid w:val="001146C5"/>
    <w:rsid w:val="001412A9"/>
    <w:rsid w:val="00142B41"/>
    <w:rsid w:val="00150420"/>
    <w:rsid w:val="00163546"/>
    <w:rsid w:val="001659F9"/>
    <w:rsid w:val="0017107D"/>
    <w:rsid w:val="00183B22"/>
    <w:rsid w:val="001B115E"/>
    <w:rsid w:val="001B3668"/>
    <w:rsid w:val="001C1F69"/>
    <w:rsid w:val="001D4BEE"/>
    <w:rsid w:val="00207D3A"/>
    <w:rsid w:val="002110C4"/>
    <w:rsid w:val="00214BBC"/>
    <w:rsid w:val="002202B1"/>
    <w:rsid w:val="0022163B"/>
    <w:rsid w:val="00224B56"/>
    <w:rsid w:val="00237C84"/>
    <w:rsid w:val="00254210"/>
    <w:rsid w:val="00296511"/>
    <w:rsid w:val="002E5BB5"/>
    <w:rsid w:val="002F4E22"/>
    <w:rsid w:val="00300602"/>
    <w:rsid w:val="00304D8B"/>
    <w:rsid w:val="003167CD"/>
    <w:rsid w:val="0031716E"/>
    <w:rsid w:val="0034647A"/>
    <w:rsid w:val="00347A44"/>
    <w:rsid w:val="003637E1"/>
    <w:rsid w:val="00365B27"/>
    <w:rsid w:val="003742A2"/>
    <w:rsid w:val="00387BFE"/>
    <w:rsid w:val="003A5F29"/>
    <w:rsid w:val="003A7F84"/>
    <w:rsid w:val="003B0E85"/>
    <w:rsid w:val="003C1D95"/>
    <w:rsid w:val="003C5F94"/>
    <w:rsid w:val="003D7A12"/>
    <w:rsid w:val="003F7378"/>
    <w:rsid w:val="00414CDC"/>
    <w:rsid w:val="00420EAA"/>
    <w:rsid w:val="0042748F"/>
    <w:rsid w:val="00431CE6"/>
    <w:rsid w:val="0043656D"/>
    <w:rsid w:val="00444F6E"/>
    <w:rsid w:val="004839D8"/>
    <w:rsid w:val="004A124F"/>
    <w:rsid w:val="004A2E2D"/>
    <w:rsid w:val="004F74D9"/>
    <w:rsid w:val="00502C2C"/>
    <w:rsid w:val="00527A05"/>
    <w:rsid w:val="00527F20"/>
    <w:rsid w:val="0053590C"/>
    <w:rsid w:val="00537CF6"/>
    <w:rsid w:val="005C6CE8"/>
    <w:rsid w:val="005D3D9E"/>
    <w:rsid w:val="005D71C4"/>
    <w:rsid w:val="005F27E2"/>
    <w:rsid w:val="00620B44"/>
    <w:rsid w:val="0063145F"/>
    <w:rsid w:val="006328B1"/>
    <w:rsid w:val="00640C99"/>
    <w:rsid w:val="006511EB"/>
    <w:rsid w:val="0065641F"/>
    <w:rsid w:val="00663502"/>
    <w:rsid w:val="00663E4A"/>
    <w:rsid w:val="006676F7"/>
    <w:rsid w:val="006A16AD"/>
    <w:rsid w:val="006C0880"/>
    <w:rsid w:val="006C3678"/>
    <w:rsid w:val="006D4F72"/>
    <w:rsid w:val="007113C0"/>
    <w:rsid w:val="00717047"/>
    <w:rsid w:val="00741476"/>
    <w:rsid w:val="00743C6A"/>
    <w:rsid w:val="007476BF"/>
    <w:rsid w:val="00765F23"/>
    <w:rsid w:val="0078072D"/>
    <w:rsid w:val="00787112"/>
    <w:rsid w:val="007B2E57"/>
    <w:rsid w:val="007C3D45"/>
    <w:rsid w:val="007C7437"/>
    <w:rsid w:val="00802591"/>
    <w:rsid w:val="00814D16"/>
    <w:rsid w:val="00817847"/>
    <w:rsid w:val="00837568"/>
    <w:rsid w:val="00856151"/>
    <w:rsid w:val="00867CB6"/>
    <w:rsid w:val="008A0BF6"/>
    <w:rsid w:val="008B4CB0"/>
    <w:rsid w:val="008D4C4B"/>
    <w:rsid w:val="008D7710"/>
    <w:rsid w:val="008D7743"/>
    <w:rsid w:val="008E4DC9"/>
    <w:rsid w:val="00904FC7"/>
    <w:rsid w:val="0090648D"/>
    <w:rsid w:val="0094247C"/>
    <w:rsid w:val="00986B6E"/>
    <w:rsid w:val="009A1434"/>
    <w:rsid w:val="009B3A1C"/>
    <w:rsid w:val="009B5683"/>
    <w:rsid w:val="009C2CA1"/>
    <w:rsid w:val="009D0401"/>
    <w:rsid w:val="009E65CA"/>
    <w:rsid w:val="009F7691"/>
    <w:rsid w:val="00A10661"/>
    <w:rsid w:val="00A11B6F"/>
    <w:rsid w:val="00A221FE"/>
    <w:rsid w:val="00A25F0D"/>
    <w:rsid w:val="00A65F1D"/>
    <w:rsid w:val="00A66FC9"/>
    <w:rsid w:val="00A67972"/>
    <w:rsid w:val="00A74874"/>
    <w:rsid w:val="00A90962"/>
    <w:rsid w:val="00AA175C"/>
    <w:rsid w:val="00AC5FE8"/>
    <w:rsid w:val="00AD213C"/>
    <w:rsid w:val="00AF5378"/>
    <w:rsid w:val="00B008F1"/>
    <w:rsid w:val="00B20E75"/>
    <w:rsid w:val="00B226F7"/>
    <w:rsid w:val="00B275CE"/>
    <w:rsid w:val="00B525B9"/>
    <w:rsid w:val="00B861FB"/>
    <w:rsid w:val="00BA46C3"/>
    <w:rsid w:val="00BB2634"/>
    <w:rsid w:val="00BB510F"/>
    <w:rsid w:val="00BE62C1"/>
    <w:rsid w:val="00BE78FE"/>
    <w:rsid w:val="00BF07BC"/>
    <w:rsid w:val="00BF1D29"/>
    <w:rsid w:val="00BF4029"/>
    <w:rsid w:val="00BF64B9"/>
    <w:rsid w:val="00BF6904"/>
    <w:rsid w:val="00C149EF"/>
    <w:rsid w:val="00C166CF"/>
    <w:rsid w:val="00C17899"/>
    <w:rsid w:val="00C44832"/>
    <w:rsid w:val="00C47044"/>
    <w:rsid w:val="00C557F1"/>
    <w:rsid w:val="00C64C3C"/>
    <w:rsid w:val="00C919CC"/>
    <w:rsid w:val="00CB622F"/>
    <w:rsid w:val="00CC03C7"/>
    <w:rsid w:val="00CC6ADA"/>
    <w:rsid w:val="00CD214D"/>
    <w:rsid w:val="00D16658"/>
    <w:rsid w:val="00D268CC"/>
    <w:rsid w:val="00D31BB2"/>
    <w:rsid w:val="00D50F8A"/>
    <w:rsid w:val="00D95F58"/>
    <w:rsid w:val="00DA2E40"/>
    <w:rsid w:val="00DB4F07"/>
    <w:rsid w:val="00DC7454"/>
    <w:rsid w:val="00DD1AFC"/>
    <w:rsid w:val="00DD4923"/>
    <w:rsid w:val="00DE6196"/>
    <w:rsid w:val="00E009CE"/>
    <w:rsid w:val="00E57157"/>
    <w:rsid w:val="00E72C09"/>
    <w:rsid w:val="00E87DF4"/>
    <w:rsid w:val="00E959FC"/>
    <w:rsid w:val="00E970DF"/>
    <w:rsid w:val="00EB5A7F"/>
    <w:rsid w:val="00ED515F"/>
    <w:rsid w:val="00ED53E2"/>
    <w:rsid w:val="00EE575C"/>
    <w:rsid w:val="00EF5C25"/>
    <w:rsid w:val="00F06C6B"/>
    <w:rsid w:val="00F30B52"/>
    <w:rsid w:val="00F41A36"/>
    <w:rsid w:val="00F41FFB"/>
    <w:rsid w:val="00F46B0A"/>
    <w:rsid w:val="00F5405D"/>
    <w:rsid w:val="00F94A64"/>
    <w:rsid w:val="00FA1F73"/>
    <w:rsid w:val="00FA1F93"/>
    <w:rsid w:val="00FB1E77"/>
    <w:rsid w:val="00FE1BF6"/>
    <w:rsid w:val="00FE4AF6"/>
    <w:rsid w:val="00FF565F"/>
    <w:rsid w:val="00FF5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AE13AC"/>
  <w15:chartTrackingRefBased/>
  <w15:docId w15:val="{F4401543-4302-4BB3-AE1B-07FA6A143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9CE"/>
    <w:pPr>
      <w:spacing w:after="120" w:line="300" w:lineRule="exact"/>
      <w:contextualSpacing/>
    </w:pPr>
    <w:rPr>
      <w:rFonts w:ascii="CT Polar" w:hAnsi="CT Polar" w:cs="Times New Roman (Body CS)"/>
      <w:sz w:val="22"/>
    </w:rPr>
  </w:style>
  <w:style w:type="paragraph" w:styleId="Heading1">
    <w:name w:val="heading 1"/>
    <w:basedOn w:val="Normal"/>
    <w:next w:val="Normal"/>
    <w:link w:val="Heading1Char"/>
    <w:uiPriority w:val="9"/>
    <w:qFormat/>
    <w:rsid w:val="00ED53E2"/>
    <w:pPr>
      <w:keepNext/>
      <w:keepLines/>
      <w:spacing w:before="240" w:after="0"/>
      <w:outlineLvl w:val="0"/>
    </w:pPr>
    <w:rPr>
      <w:rFonts w:asciiTheme="majorHAnsi" w:eastAsiaTheme="majorEastAsia" w:hAnsiTheme="majorHAnsi" w:cstheme="majorBidi"/>
      <w:color w:val="E56855" w:themeColor="accent1" w:themeShade="BF"/>
      <w:sz w:val="32"/>
      <w:szCs w:val="32"/>
    </w:rPr>
  </w:style>
  <w:style w:type="paragraph" w:styleId="Heading2">
    <w:name w:val="heading 2"/>
    <w:basedOn w:val="Normal"/>
    <w:next w:val="Normal"/>
    <w:link w:val="Heading2Char"/>
    <w:uiPriority w:val="9"/>
    <w:unhideWhenUsed/>
    <w:qFormat/>
    <w:rsid w:val="00ED53E2"/>
    <w:pPr>
      <w:keepNext/>
      <w:keepLines/>
      <w:spacing w:before="40" w:after="0"/>
      <w:outlineLvl w:val="1"/>
    </w:pPr>
    <w:rPr>
      <w:rFonts w:asciiTheme="majorHAnsi" w:eastAsiaTheme="majorEastAsia" w:hAnsiTheme="majorHAnsi" w:cstheme="majorBidi"/>
      <w:color w:val="E56855" w:themeColor="accent1" w:themeShade="BF"/>
      <w:sz w:val="26"/>
      <w:szCs w:val="26"/>
    </w:rPr>
  </w:style>
  <w:style w:type="paragraph" w:styleId="Heading3">
    <w:name w:val="heading 3"/>
    <w:basedOn w:val="Normal"/>
    <w:next w:val="Normal"/>
    <w:link w:val="Heading3Char"/>
    <w:uiPriority w:val="9"/>
    <w:unhideWhenUsed/>
    <w:qFormat/>
    <w:rsid w:val="00ED53E2"/>
    <w:pPr>
      <w:keepNext/>
      <w:keepLines/>
      <w:spacing w:before="40" w:after="0"/>
      <w:outlineLvl w:val="2"/>
    </w:pPr>
    <w:rPr>
      <w:rFonts w:asciiTheme="majorHAnsi" w:eastAsiaTheme="majorEastAsia" w:hAnsiTheme="majorHAnsi" w:cstheme="majorBidi"/>
      <w:color w:val="B5301C" w:themeColor="accent1" w:themeShade="7F"/>
      <w:sz w:val="24"/>
    </w:rPr>
  </w:style>
  <w:style w:type="paragraph" w:styleId="Heading4">
    <w:name w:val="heading 4"/>
    <w:basedOn w:val="Normal"/>
    <w:next w:val="Normal"/>
    <w:link w:val="Heading4Char"/>
    <w:uiPriority w:val="9"/>
    <w:semiHidden/>
    <w:unhideWhenUsed/>
    <w:qFormat/>
    <w:rsid w:val="00ED53E2"/>
    <w:pPr>
      <w:keepNext/>
      <w:keepLines/>
      <w:spacing w:before="40" w:after="0"/>
      <w:outlineLvl w:val="3"/>
    </w:pPr>
    <w:rPr>
      <w:rFonts w:asciiTheme="majorHAnsi" w:eastAsiaTheme="majorEastAsia" w:hAnsiTheme="majorHAnsi" w:cstheme="majorBidi"/>
      <w:i/>
      <w:iCs/>
      <w:color w:val="E568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urphyYoungtablestyle">
    <w:name w:val="Murphy Young table style"/>
    <w:basedOn w:val="TableNormal"/>
    <w:uiPriority w:val="99"/>
    <w:rsid w:val="001B3668"/>
    <w:rPr>
      <w:sz w:val="22"/>
      <w:szCs w:val="22"/>
    </w:rPr>
    <w:tblPr/>
  </w:style>
  <w:style w:type="paragraph" w:styleId="Header">
    <w:name w:val="header"/>
    <w:basedOn w:val="Normal"/>
    <w:link w:val="HeaderChar"/>
    <w:uiPriority w:val="99"/>
    <w:unhideWhenUsed/>
    <w:rsid w:val="009B3A1C"/>
    <w:pPr>
      <w:tabs>
        <w:tab w:val="center" w:pos="4513"/>
        <w:tab w:val="right" w:pos="9026"/>
      </w:tabs>
    </w:pPr>
  </w:style>
  <w:style w:type="character" w:customStyle="1" w:styleId="HeaderChar">
    <w:name w:val="Header Char"/>
    <w:basedOn w:val="DefaultParagraphFont"/>
    <w:link w:val="Header"/>
    <w:uiPriority w:val="99"/>
    <w:rsid w:val="009B3A1C"/>
  </w:style>
  <w:style w:type="paragraph" w:styleId="Footer">
    <w:name w:val="footer"/>
    <w:basedOn w:val="Normal"/>
    <w:link w:val="FooterChar"/>
    <w:uiPriority w:val="99"/>
    <w:unhideWhenUsed/>
    <w:rsid w:val="009B3A1C"/>
    <w:pPr>
      <w:tabs>
        <w:tab w:val="center" w:pos="4513"/>
        <w:tab w:val="right" w:pos="9026"/>
      </w:tabs>
    </w:pPr>
  </w:style>
  <w:style w:type="character" w:customStyle="1" w:styleId="FooterChar">
    <w:name w:val="Footer Char"/>
    <w:basedOn w:val="DefaultParagraphFont"/>
    <w:link w:val="Footer"/>
    <w:uiPriority w:val="99"/>
    <w:rsid w:val="009B3A1C"/>
  </w:style>
  <w:style w:type="paragraph" w:customStyle="1" w:styleId="ReportTitle">
    <w:name w:val="Report Title"/>
    <w:basedOn w:val="Normal"/>
    <w:qFormat/>
    <w:rsid w:val="0063145F"/>
    <w:pPr>
      <w:spacing w:line="240" w:lineRule="auto"/>
    </w:pPr>
    <w:rPr>
      <w:color w:val="F8F8F7" w:themeColor="background1"/>
      <w:sz w:val="88"/>
    </w:rPr>
  </w:style>
  <w:style w:type="paragraph" w:customStyle="1" w:styleId="ReportSubtitle">
    <w:name w:val="Report Subtitle"/>
    <w:basedOn w:val="Normal"/>
    <w:qFormat/>
    <w:rsid w:val="0063145F"/>
    <w:pPr>
      <w:spacing w:line="240" w:lineRule="auto"/>
    </w:pPr>
    <w:rPr>
      <w:color w:val="F8F8F7" w:themeColor="background1"/>
      <w:sz w:val="52"/>
    </w:rPr>
  </w:style>
  <w:style w:type="paragraph" w:customStyle="1" w:styleId="ReportAdditionalInfo">
    <w:name w:val="Report Additional Info"/>
    <w:basedOn w:val="ReportSubtitle"/>
    <w:qFormat/>
    <w:rsid w:val="00BB2634"/>
    <w:rPr>
      <w:sz w:val="22"/>
    </w:rPr>
  </w:style>
  <w:style w:type="paragraph" w:styleId="Title">
    <w:name w:val="Title"/>
    <w:basedOn w:val="Normal"/>
    <w:next w:val="Normal"/>
    <w:link w:val="TitleChar"/>
    <w:uiPriority w:val="10"/>
    <w:qFormat/>
    <w:rsid w:val="0004037F"/>
    <w:pPr>
      <w:spacing w:after="0" w:line="240" w:lineRule="auto"/>
    </w:pPr>
    <w:rPr>
      <w:rFonts w:eastAsiaTheme="majorEastAsia" w:cstheme="majorBidi"/>
      <w:color w:val="4B4746" w:themeColor="text1"/>
      <w:spacing w:val="-10"/>
      <w:kern w:val="28"/>
      <w:sz w:val="88"/>
      <w:szCs w:val="56"/>
    </w:rPr>
  </w:style>
  <w:style w:type="character" w:customStyle="1" w:styleId="TitleChar">
    <w:name w:val="Title Char"/>
    <w:basedOn w:val="DefaultParagraphFont"/>
    <w:link w:val="Title"/>
    <w:uiPriority w:val="10"/>
    <w:rsid w:val="0004037F"/>
    <w:rPr>
      <w:rFonts w:ascii="CT Polar" w:eastAsiaTheme="majorEastAsia" w:hAnsi="CT Polar" w:cstheme="majorBidi"/>
      <w:color w:val="4B4746" w:themeColor="text1"/>
      <w:spacing w:val="-10"/>
      <w:kern w:val="28"/>
      <w:sz w:val="88"/>
      <w:szCs w:val="56"/>
    </w:rPr>
  </w:style>
  <w:style w:type="paragraph" w:styleId="Subtitle">
    <w:name w:val="Subtitle"/>
    <w:basedOn w:val="Normal"/>
    <w:next w:val="Normal"/>
    <w:link w:val="SubtitleChar"/>
    <w:uiPriority w:val="11"/>
    <w:qFormat/>
    <w:rsid w:val="001B115E"/>
    <w:pPr>
      <w:numPr>
        <w:ilvl w:val="1"/>
      </w:numPr>
      <w:spacing w:after="160" w:line="240" w:lineRule="auto"/>
    </w:pPr>
    <w:rPr>
      <w:rFonts w:eastAsiaTheme="minorEastAsia"/>
      <w:color w:val="4B4746" w:themeColor="text1"/>
      <w:sz w:val="48"/>
      <w:szCs w:val="22"/>
    </w:rPr>
  </w:style>
  <w:style w:type="character" w:customStyle="1" w:styleId="SubtitleChar">
    <w:name w:val="Subtitle Char"/>
    <w:basedOn w:val="DefaultParagraphFont"/>
    <w:link w:val="Subtitle"/>
    <w:uiPriority w:val="11"/>
    <w:rsid w:val="001B115E"/>
    <w:rPr>
      <w:rFonts w:ascii="CT Polar" w:eastAsiaTheme="minorEastAsia" w:hAnsi="CT Polar" w:cs="Times New Roman (Body CS)"/>
      <w:color w:val="4B4746" w:themeColor="text1"/>
      <w:sz w:val="48"/>
      <w:szCs w:val="22"/>
    </w:rPr>
  </w:style>
  <w:style w:type="paragraph" w:customStyle="1" w:styleId="Subtitle2">
    <w:name w:val="Subtitle 2"/>
    <w:basedOn w:val="Subtitle"/>
    <w:qFormat/>
    <w:rsid w:val="001D4BEE"/>
    <w:rPr>
      <w:b/>
      <w:sz w:val="24"/>
    </w:rPr>
  </w:style>
  <w:style w:type="paragraph" w:styleId="ListBullet">
    <w:name w:val="List Bullet"/>
    <w:basedOn w:val="Normal"/>
    <w:uiPriority w:val="99"/>
    <w:unhideWhenUsed/>
    <w:rsid w:val="00BF64B9"/>
    <w:pPr>
      <w:numPr>
        <w:numId w:val="10"/>
      </w:numPr>
    </w:pPr>
  </w:style>
  <w:style w:type="paragraph" w:customStyle="1" w:styleId="SectionTitle">
    <w:name w:val="Section Title"/>
    <w:basedOn w:val="Normal"/>
    <w:qFormat/>
    <w:rsid w:val="0004037F"/>
    <w:pPr>
      <w:snapToGrid w:val="0"/>
      <w:spacing w:line="1000" w:lineRule="exact"/>
      <w:ind w:left="454"/>
    </w:pPr>
    <w:rPr>
      <w:rFonts w:eastAsiaTheme="majorEastAsia" w:cs="Times New Roman (Headings CS)"/>
      <w:color w:val="4B4746" w:themeColor="text1"/>
      <w:spacing w:val="-10"/>
      <w:kern w:val="28"/>
      <w:sz w:val="88"/>
      <w:szCs w:val="56"/>
    </w:rPr>
  </w:style>
  <w:style w:type="paragraph" w:styleId="TOC1">
    <w:name w:val="toc 1"/>
    <w:basedOn w:val="Normal"/>
    <w:next w:val="Normal"/>
    <w:autoRedefine/>
    <w:uiPriority w:val="39"/>
    <w:unhideWhenUsed/>
    <w:rsid w:val="00ED53E2"/>
    <w:pPr>
      <w:tabs>
        <w:tab w:val="right" w:pos="7785"/>
      </w:tabs>
      <w:spacing w:before="240" w:after="0"/>
    </w:pPr>
    <w:rPr>
      <w:rFonts w:asciiTheme="majorHAnsi" w:hAnsiTheme="majorHAnsi"/>
      <w:bCs/>
      <w:sz w:val="24"/>
    </w:rPr>
  </w:style>
  <w:style w:type="paragraph" w:styleId="TOC2">
    <w:name w:val="toc 2"/>
    <w:basedOn w:val="Normal"/>
    <w:next w:val="Normal"/>
    <w:autoRedefine/>
    <w:uiPriority w:val="39"/>
    <w:unhideWhenUsed/>
    <w:rsid w:val="00ED53E2"/>
    <w:pPr>
      <w:tabs>
        <w:tab w:val="right" w:pos="7785"/>
      </w:tabs>
      <w:spacing w:before="120" w:after="0"/>
      <w:ind w:left="198"/>
    </w:pPr>
    <w:rPr>
      <w:rFonts w:asciiTheme="minorHAnsi" w:hAnsiTheme="minorHAnsi"/>
      <w:bCs/>
      <w:szCs w:val="20"/>
    </w:rPr>
  </w:style>
  <w:style w:type="paragraph" w:styleId="TOC3">
    <w:name w:val="toc 3"/>
    <w:basedOn w:val="Normal"/>
    <w:next w:val="Normal"/>
    <w:autoRedefine/>
    <w:uiPriority w:val="39"/>
    <w:unhideWhenUsed/>
    <w:rsid w:val="00ED53E2"/>
    <w:pPr>
      <w:tabs>
        <w:tab w:val="right" w:pos="7785"/>
      </w:tabs>
      <w:spacing w:after="0"/>
      <w:ind w:left="198"/>
    </w:pPr>
    <w:rPr>
      <w:rFonts w:asciiTheme="minorHAnsi" w:hAnsiTheme="minorHAnsi"/>
      <w:szCs w:val="20"/>
    </w:rPr>
  </w:style>
  <w:style w:type="paragraph" w:styleId="TOC4">
    <w:name w:val="toc 4"/>
    <w:basedOn w:val="Normal"/>
    <w:next w:val="Normal"/>
    <w:autoRedefine/>
    <w:uiPriority w:val="39"/>
    <w:unhideWhenUsed/>
    <w:rsid w:val="00F46B0A"/>
    <w:pPr>
      <w:spacing w:after="0"/>
      <w:ind w:left="400"/>
    </w:pPr>
    <w:rPr>
      <w:rFonts w:asciiTheme="minorHAnsi" w:hAnsiTheme="minorHAnsi"/>
      <w:szCs w:val="20"/>
    </w:rPr>
  </w:style>
  <w:style w:type="paragraph" w:styleId="TOC5">
    <w:name w:val="toc 5"/>
    <w:basedOn w:val="Normal"/>
    <w:next w:val="Normal"/>
    <w:autoRedefine/>
    <w:uiPriority w:val="39"/>
    <w:unhideWhenUsed/>
    <w:rsid w:val="00F46B0A"/>
    <w:pPr>
      <w:spacing w:after="0"/>
      <w:ind w:left="600"/>
    </w:pPr>
    <w:rPr>
      <w:rFonts w:asciiTheme="minorHAnsi" w:hAnsiTheme="minorHAnsi"/>
      <w:szCs w:val="20"/>
    </w:rPr>
  </w:style>
  <w:style w:type="paragraph" w:styleId="TOC6">
    <w:name w:val="toc 6"/>
    <w:basedOn w:val="Normal"/>
    <w:next w:val="Normal"/>
    <w:autoRedefine/>
    <w:uiPriority w:val="39"/>
    <w:unhideWhenUsed/>
    <w:rsid w:val="00F46B0A"/>
    <w:pPr>
      <w:spacing w:after="0"/>
      <w:ind w:left="800"/>
    </w:pPr>
    <w:rPr>
      <w:rFonts w:asciiTheme="minorHAnsi" w:hAnsiTheme="minorHAnsi"/>
      <w:szCs w:val="20"/>
    </w:rPr>
  </w:style>
  <w:style w:type="paragraph" w:styleId="TOC7">
    <w:name w:val="toc 7"/>
    <w:basedOn w:val="Normal"/>
    <w:next w:val="Normal"/>
    <w:autoRedefine/>
    <w:uiPriority w:val="39"/>
    <w:unhideWhenUsed/>
    <w:rsid w:val="00F46B0A"/>
    <w:pPr>
      <w:spacing w:after="0"/>
      <w:ind w:left="1000"/>
    </w:pPr>
    <w:rPr>
      <w:rFonts w:asciiTheme="minorHAnsi" w:hAnsiTheme="minorHAnsi"/>
      <w:szCs w:val="20"/>
    </w:rPr>
  </w:style>
  <w:style w:type="paragraph" w:styleId="TOC8">
    <w:name w:val="toc 8"/>
    <w:basedOn w:val="Normal"/>
    <w:next w:val="Normal"/>
    <w:autoRedefine/>
    <w:uiPriority w:val="39"/>
    <w:unhideWhenUsed/>
    <w:rsid w:val="00F46B0A"/>
    <w:pPr>
      <w:spacing w:after="0"/>
      <w:ind w:left="1200"/>
    </w:pPr>
    <w:rPr>
      <w:rFonts w:asciiTheme="minorHAnsi" w:hAnsiTheme="minorHAnsi"/>
      <w:szCs w:val="20"/>
    </w:rPr>
  </w:style>
  <w:style w:type="paragraph" w:styleId="TOC9">
    <w:name w:val="toc 9"/>
    <w:basedOn w:val="Normal"/>
    <w:next w:val="Normal"/>
    <w:autoRedefine/>
    <w:uiPriority w:val="39"/>
    <w:unhideWhenUsed/>
    <w:rsid w:val="00F46B0A"/>
    <w:pPr>
      <w:spacing w:after="0"/>
      <w:ind w:left="1400"/>
    </w:pPr>
    <w:rPr>
      <w:rFonts w:asciiTheme="minorHAnsi" w:hAnsiTheme="minorHAnsi"/>
      <w:szCs w:val="20"/>
    </w:rPr>
  </w:style>
  <w:style w:type="paragraph" w:customStyle="1" w:styleId="Highlightedtext">
    <w:name w:val="Highlighted text"/>
    <w:basedOn w:val="Normal"/>
    <w:qFormat/>
    <w:rsid w:val="002110C4"/>
    <w:pPr>
      <w:pBdr>
        <w:left w:val="single" w:sz="24" w:space="4" w:color="73BEC0" w:themeColor="accent3"/>
      </w:pBdr>
      <w:tabs>
        <w:tab w:val="left" w:pos="567"/>
      </w:tabs>
      <w:spacing w:after="0"/>
      <w:ind w:left="567"/>
    </w:pPr>
    <w:rPr>
      <w:b/>
      <w:color w:val="73BEC0" w:themeColor="accent3"/>
      <w:sz w:val="24"/>
    </w:rPr>
  </w:style>
  <w:style w:type="paragraph" w:styleId="FootnoteText">
    <w:name w:val="footnote text"/>
    <w:basedOn w:val="Normal"/>
    <w:link w:val="FootnoteTextChar"/>
    <w:uiPriority w:val="99"/>
    <w:semiHidden/>
    <w:unhideWhenUsed/>
    <w:rsid w:val="00365B27"/>
    <w:pPr>
      <w:spacing w:after="0"/>
    </w:pPr>
    <w:rPr>
      <w:sz w:val="16"/>
      <w:szCs w:val="20"/>
    </w:rPr>
  </w:style>
  <w:style w:type="character" w:customStyle="1" w:styleId="FootnoteTextChar">
    <w:name w:val="Footnote Text Char"/>
    <w:basedOn w:val="DefaultParagraphFont"/>
    <w:link w:val="FootnoteText"/>
    <w:uiPriority w:val="99"/>
    <w:semiHidden/>
    <w:rsid w:val="00365B27"/>
    <w:rPr>
      <w:rFonts w:ascii="CT Polar" w:hAnsi="CT Polar" w:cs="Times New Roman (Body CS)"/>
      <w:sz w:val="16"/>
      <w:szCs w:val="20"/>
    </w:rPr>
  </w:style>
  <w:style w:type="character" w:styleId="FootnoteReference">
    <w:name w:val="footnote reference"/>
    <w:basedOn w:val="DefaultParagraphFont"/>
    <w:uiPriority w:val="99"/>
    <w:semiHidden/>
    <w:unhideWhenUsed/>
    <w:rsid w:val="00E959FC"/>
    <w:rPr>
      <w:vertAlign w:val="superscript"/>
    </w:rPr>
  </w:style>
  <w:style w:type="table" w:styleId="TableGrid">
    <w:name w:val="Table Grid"/>
    <w:basedOn w:val="TableNormal"/>
    <w:uiPriority w:val="39"/>
    <w:rsid w:val="00171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TGlossarytable">
    <w:name w:val="CT Glossary table"/>
    <w:basedOn w:val="TableNormal"/>
    <w:uiPriority w:val="99"/>
    <w:rsid w:val="000A2ED4"/>
    <w:tblPr>
      <w:tblBorders>
        <w:insideH w:val="single" w:sz="8" w:space="0" w:color="C8CAD0" w:themeColor="background2"/>
      </w:tblBorders>
    </w:tblPr>
  </w:style>
  <w:style w:type="character" w:customStyle="1" w:styleId="Heading1Char">
    <w:name w:val="Heading 1 Char"/>
    <w:basedOn w:val="DefaultParagraphFont"/>
    <w:link w:val="Heading1"/>
    <w:uiPriority w:val="9"/>
    <w:rsid w:val="00ED53E2"/>
    <w:rPr>
      <w:rFonts w:asciiTheme="majorHAnsi" w:eastAsiaTheme="majorEastAsia" w:hAnsiTheme="majorHAnsi" w:cstheme="majorBidi"/>
      <w:color w:val="E56855" w:themeColor="accent1" w:themeShade="BF"/>
      <w:sz w:val="32"/>
      <w:szCs w:val="32"/>
    </w:rPr>
  </w:style>
  <w:style w:type="character" w:customStyle="1" w:styleId="Heading2Char">
    <w:name w:val="Heading 2 Char"/>
    <w:basedOn w:val="DefaultParagraphFont"/>
    <w:link w:val="Heading2"/>
    <w:uiPriority w:val="9"/>
    <w:rsid w:val="00ED53E2"/>
    <w:rPr>
      <w:rFonts w:asciiTheme="majorHAnsi" w:eastAsiaTheme="majorEastAsia" w:hAnsiTheme="majorHAnsi" w:cstheme="majorBidi"/>
      <w:color w:val="E56855" w:themeColor="accent1" w:themeShade="BF"/>
      <w:sz w:val="26"/>
      <w:szCs w:val="26"/>
    </w:rPr>
  </w:style>
  <w:style w:type="character" w:customStyle="1" w:styleId="Heading3Char">
    <w:name w:val="Heading 3 Char"/>
    <w:basedOn w:val="DefaultParagraphFont"/>
    <w:link w:val="Heading3"/>
    <w:uiPriority w:val="9"/>
    <w:rsid w:val="00ED53E2"/>
    <w:rPr>
      <w:rFonts w:asciiTheme="majorHAnsi" w:eastAsiaTheme="majorEastAsia" w:hAnsiTheme="majorHAnsi" w:cstheme="majorBidi"/>
      <w:color w:val="B5301C" w:themeColor="accent1" w:themeShade="7F"/>
    </w:rPr>
  </w:style>
  <w:style w:type="character" w:customStyle="1" w:styleId="Heading4Char">
    <w:name w:val="Heading 4 Char"/>
    <w:basedOn w:val="DefaultParagraphFont"/>
    <w:link w:val="Heading4"/>
    <w:uiPriority w:val="9"/>
    <w:semiHidden/>
    <w:rsid w:val="00ED53E2"/>
    <w:rPr>
      <w:rFonts w:asciiTheme="majorHAnsi" w:eastAsiaTheme="majorEastAsia" w:hAnsiTheme="majorHAnsi" w:cstheme="majorBidi"/>
      <w:i/>
      <w:iCs/>
      <w:color w:val="E56855" w:themeColor="accent1" w:themeShade="BF"/>
      <w:sz w:val="20"/>
    </w:rPr>
  </w:style>
  <w:style w:type="character" w:styleId="Hyperlink">
    <w:name w:val="Hyperlink"/>
    <w:basedOn w:val="DefaultParagraphFont"/>
    <w:uiPriority w:val="99"/>
    <w:unhideWhenUsed/>
    <w:rsid w:val="00ED53E2"/>
    <w:rPr>
      <w:color w:val="73BEC0" w:themeColor="hyperlink"/>
      <w:u w:val="single"/>
    </w:rPr>
  </w:style>
  <w:style w:type="table" w:customStyle="1" w:styleId="CTAppendixbandedtable">
    <w:name w:val="CT Appendix banded table"/>
    <w:basedOn w:val="TableNormal"/>
    <w:uiPriority w:val="99"/>
    <w:rsid w:val="00BB510F"/>
    <w:tblPr>
      <w:tblStyleRowBandSize w:val="1"/>
    </w:tblPr>
    <w:tcPr>
      <w:shd w:val="clear" w:color="auto" w:fill="F8F8F7" w:themeFill="background1"/>
    </w:tcPr>
    <w:tblStylePr w:type="firstRow">
      <w:rPr>
        <w:rFonts w:asciiTheme="majorHAnsi" w:hAnsiTheme="majorHAnsi"/>
        <w:b/>
        <w:color w:val="F8F8F7" w:themeColor="background1"/>
      </w:rPr>
      <w:tblPr/>
      <w:tcPr>
        <w:shd w:val="clear" w:color="auto" w:fill="4B5A69" w:themeFill="text2"/>
        <w:tcMar>
          <w:top w:w="57" w:type="dxa"/>
          <w:left w:w="57" w:type="dxa"/>
          <w:bottom w:w="57" w:type="dxa"/>
          <w:right w:w="57" w:type="dxa"/>
        </w:tcMar>
      </w:tcPr>
    </w:tblStylePr>
    <w:tblStylePr w:type="band1Horz">
      <w:tblPr/>
      <w:tcPr>
        <w:shd w:val="clear" w:color="auto" w:fill="C8CAD0" w:themeFill="background2"/>
      </w:tcPr>
    </w:tblStylePr>
  </w:style>
  <w:style w:type="table" w:styleId="GridTable4">
    <w:name w:val="Grid Table 4"/>
    <w:aliases w:val="CT banded table style"/>
    <w:basedOn w:val="TableNormal"/>
    <w:uiPriority w:val="49"/>
    <w:rsid w:val="000449CA"/>
    <w:tblPr>
      <w:tblStyleRowBandSize w:val="1"/>
    </w:tblPr>
    <w:tblStylePr w:type="firstRow">
      <w:rPr>
        <w:b/>
        <w:bCs/>
        <w:color w:val="F8F8F7" w:themeColor="background1"/>
      </w:rPr>
      <w:tblPr/>
      <w:tcPr>
        <w:tcBorders>
          <w:top w:val="single" w:sz="4" w:space="0" w:color="4B4746" w:themeColor="text1"/>
          <w:left w:val="single" w:sz="4" w:space="0" w:color="4B4746" w:themeColor="text1"/>
          <w:bottom w:val="single" w:sz="4" w:space="0" w:color="4B4746" w:themeColor="text1"/>
          <w:right w:val="single" w:sz="4" w:space="0" w:color="4B4746" w:themeColor="text1"/>
          <w:insideH w:val="nil"/>
          <w:insideV w:val="nil"/>
        </w:tcBorders>
        <w:shd w:val="clear" w:color="auto" w:fill="4B4746" w:themeFill="text1"/>
      </w:tcPr>
    </w:tblStylePr>
    <w:tblStylePr w:type="lastRow">
      <w:rPr>
        <w:b/>
        <w:bCs/>
      </w:rPr>
      <w:tblPr/>
      <w:tcPr>
        <w:tcBorders>
          <w:top w:val="double" w:sz="4" w:space="0" w:color="4B4746" w:themeColor="text1"/>
        </w:tcBorders>
      </w:tcPr>
    </w:tblStylePr>
    <w:tblStylePr w:type="firstCol">
      <w:rPr>
        <w:b/>
        <w:bCs/>
      </w:rPr>
    </w:tblStylePr>
    <w:tblStylePr w:type="lastCol">
      <w:rPr>
        <w:b/>
        <w:bCs/>
      </w:rPr>
    </w:tblStylePr>
    <w:tblStylePr w:type="band1Horz">
      <w:tblPr/>
      <w:tcPr>
        <w:shd w:val="clear" w:color="auto" w:fill="DBD9D9" w:themeFill="text1" w:themeFillTint="33"/>
      </w:tcPr>
    </w:tblStylePr>
  </w:style>
  <w:style w:type="table" w:customStyle="1" w:styleId="CTAppendixunbandedtable">
    <w:name w:val="CT Appendix unbanded table"/>
    <w:basedOn w:val="TableNormal"/>
    <w:uiPriority w:val="99"/>
    <w:rsid w:val="00BB510F"/>
    <w:rPr>
      <w:color w:val="4B5A69" w:themeColor="text2"/>
      <w:sz w:val="20"/>
    </w:rPr>
    <w:tblPr/>
    <w:tcPr>
      <w:shd w:val="clear" w:color="auto" w:fill="F8F8F7" w:themeFill="background1"/>
      <w:tcMar>
        <w:top w:w="57" w:type="dxa"/>
        <w:left w:w="57" w:type="dxa"/>
        <w:bottom w:w="57" w:type="dxa"/>
        <w:right w:w="57" w:type="dxa"/>
      </w:tcMar>
    </w:tcPr>
    <w:tblStylePr w:type="firstRow">
      <w:rPr>
        <w:rFonts w:asciiTheme="majorHAnsi" w:hAnsiTheme="majorHAnsi"/>
        <w:b/>
        <w:color w:val="F8F8F7" w:themeColor="background1"/>
      </w:rPr>
      <w:tblPr/>
      <w:tcPr>
        <w:shd w:val="clear" w:color="auto" w:fill="4B5A69" w:themeFill="text2"/>
      </w:tcPr>
    </w:tblStylePr>
  </w:style>
  <w:style w:type="table" w:customStyle="1" w:styleId="CTAppendixunbandedtablegreen">
    <w:name w:val="CT Appendix unbanded table (green)"/>
    <w:basedOn w:val="CTAppendixunbandedtable"/>
    <w:uiPriority w:val="99"/>
    <w:rsid w:val="00BB510F"/>
    <w:tblPr/>
    <w:tcPr>
      <w:shd w:val="clear" w:color="auto" w:fill="F8F8F7" w:themeFill="background1"/>
    </w:tcPr>
    <w:tblStylePr w:type="firstRow">
      <w:rPr>
        <w:rFonts w:asciiTheme="majorHAnsi" w:hAnsiTheme="majorHAnsi"/>
        <w:b/>
        <w:color w:val="F8F8F7" w:themeColor="background1"/>
      </w:rPr>
      <w:tblPr/>
      <w:tcPr>
        <w:shd w:val="clear" w:color="auto" w:fill="73BEC0" w:themeFill="accent3"/>
      </w:tcPr>
    </w:tblStylePr>
  </w:style>
  <w:style w:type="table" w:customStyle="1" w:styleId="CTAppendixbandedtablegreen">
    <w:name w:val="CT Appendix banded table (green)"/>
    <w:basedOn w:val="CTAppendixbandedtable"/>
    <w:uiPriority w:val="99"/>
    <w:rsid w:val="00BB510F"/>
    <w:tblPr/>
    <w:tcPr>
      <w:shd w:val="clear" w:color="auto" w:fill="F8F8F7" w:themeFill="background1"/>
    </w:tcPr>
    <w:tblStylePr w:type="firstRow">
      <w:rPr>
        <w:rFonts w:asciiTheme="majorHAnsi" w:hAnsiTheme="majorHAnsi"/>
        <w:b/>
        <w:color w:val="F8F8F7" w:themeColor="background1"/>
      </w:rPr>
      <w:tblPr/>
      <w:tcPr>
        <w:shd w:val="clear" w:color="auto" w:fill="73BEC0" w:themeFill="accent3"/>
        <w:tcMar>
          <w:top w:w="57" w:type="dxa"/>
          <w:left w:w="57" w:type="dxa"/>
          <w:bottom w:w="57" w:type="dxa"/>
          <w:right w:w="57" w:type="dxa"/>
        </w:tcMar>
      </w:tcPr>
    </w:tblStylePr>
    <w:tblStylePr w:type="band1Horz">
      <w:tblPr/>
      <w:tcPr>
        <w:shd w:val="clear" w:color="auto" w:fill="B1C3C3" w:themeFill="accent4"/>
      </w:tcPr>
    </w:tblStylePr>
  </w:style>
  <w:style w:type="table" w:customStyle="1" w:styleId="CT3columnlayout">
    <w:name w:val="CT 3 column layout"/>
    <w:basedOn w:val="TableNormal"/>
    <w:uiPriority w:val="99"/>
    <w:rsid w:val="00FE1BF6"/>
    <w:tblPr/>
    <w:trPr>
      <w:cantSplit/>
    </w:trPr>
    <w:tcPr>
      <w:shd w:val="clear" w:color="auto" w:fill="auto"/>
      <w:tcMar>
        <w:left w:w="0" w:type="dxa"/>
        <w:bottom w:w="227" w:type="dxa"/>
        <w:right w:w="170" w:type="dxa"/>
      </w:tcMar>
    </w:tcPr>
  </w:style>
  <w:style w:type="paragraph" w:styleId="ListParagraph">
    <w:name w:val="List Paragraph"/>
    <w:basedOn w:val="Normal"/>
    <w:uiPriority w:val="34"/>
    <w:qFormat/>
    <w:rsid w:val="004A2E2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10.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5.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CT Office Theme v1.1">
  <a:themeElements>
    <a:clrScheme name="CT Office Theme v1.1">
      <a:dk1>
        <a:srgbClr val="4B4746"/>
      </a:dk1>
      <a:lt1>
        <a:srgbClr val="F8F8F7"/>
      </a:lt1>
      <a:dk2>
        <a:srgbClr val="4B5A69"/>
      </a:dk2>
      <a:lt2>
        <a:srgbClr val="C8CAD0"/>
      </a:lt2>
      <a:accent1>
        <a:srgbClr val="F3BAB1"/>
      </a:accent1>
      <a:accent2>
        <a:srgbClr val="F8E8E9"/>
      </a:accent2>
      <a:accent3>
        <a:srgbClr val="73BEC0"/>
      </a:accent3>
      <a:accent4>
        <a:srgbClr val="B1C3C3"/>
      </a:accent4>
      <a:accent5>
        <a:srgbClr val="FFDD8B"/>
      </a:accent5>
      <a:accent6>
        <a:srgbClr val="FEF6E0"/>
      </a:accent6>
      <a:hlink>
        <a:srgbClr val="73BEC0"/>
      </a:hlink>
      <a:folHlink>
        <a:srgbClr val="B1C3C3"/>
      </a:folHlink>
    </a:clrScheme>
    <a:fontScheme name="CT fonts">
      <a:majorFont>
        <a:latin typeface="CT Polar"/>
        <a:ea typeface=""/>
        <a:cs typeface=""/>
      </a:majorFont>
      <a:minorFont>
        <a:latin typeface="CT Po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T Office Theme" id="{44EF6EB6-E8C6-415B-94A6-069A3A398979}" vid="{AC6AE2AE-E10E-4A39-9E76-0C6A205FC9E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A58BEED5177849ABDF62DDDF5C9406" ma:contentTypeVersion="17" ma:contentTypeDescription="Create a new document." ma:contentTypeScope="" ma:versionID="ee49a66c53056d56eb43feed27bfe49d">
  <xsd:schema xmlns:xsd="http://www.w3.org/2001/XMLSchema" xmlns:xs="http://www.w3.org/2001/XMLSchema" xmlns:p="http://schemas.microsoft.com/office/2006/metadata/properties" xmlns:ns2="311e9238-32ac-4cb4-b5e0-4396fa082008" xmlns:ns3="493bb6ee-ddc6-4c5c-988d-d27208970a9f" targetNamespace="http://schemas.microsoft.com/office/2006/metadata/properties" ma:root="true" ma:fieldsID="9ab9bfe5de6dc24570c5b5548f81eca6" ns2:_="" ns3:_="">
    <xsd:import namespace="311e9238-32ac-4cb4-b5e0-4396fa082008"/>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e9238-32ac-4cb4-b5e0-4396fa0820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1e9238-32ac-4cb4-b5e0-4396fa082008">
      <Terms xmlns="http://schemas.microsoft.com/office/infopath/2007/PartnerControls"/>
    </lcf76f155ced4ddcb4097134ff3c332f>
    <TaxCatchAll xmlns="493bb6ee-ddc6-4c5c-988d-d27208970a9f" xsi:nil="true"/>
    <SharedWithUsers xmlns="493bb6ee-ddc6-4c5c-988d-d27208970a9f">
      <UserInfo>
        <DisplayName/>
        <AccountId xsi:nil="true"/>
        <AccountType/>
      </UserInfo>
    </SharedWithUsers>
  </documentManagement>
</p:properties>
</file>

<file path=customXml/itemProps1.xml><?xml version="1.0" encoding="utf-8"?>
<ds:datastoreItem xmlns:ds="http://schemas.openxmlformats.org/officeDocument/2006/customXml" ds:itemID="{F29E98D8-6220-48C4-A12F-D45297D2FE37}"/>
</file>

<file path=customXml/itemProps2.xml><?xml version="1.0" encoding="utf-8"?>
<ds:datastoreItem xmlns:ds="http://schemas.openxmlformats.org/officeDocument/2006/customXml" ds:itemID="{CB231526-5BD0-4914-9C7C-BD28B8F58191}">
  <ds:schemaRefs>
    <ds:schemaRef ds:uri="http://schemas.microsoft.com/sharepoint/v3/contenttype/forms"/>
  </ds:schemaRefs>
</ds:datastoreItem>
</file>

<file path=customXml/itemProps3.xml><?xml version="1.0" encoding="utf-8"?>
<ds:datastoreItem xmlns:ds="http://schemas.openxmlformats.org/officeDocument/2006/customXml" ds:itemID="{463BF116-7D79-4BBA-A2D5-F3218002CFFC}">
  <ds:schemaRefs>
    <ds:schemaRef ds:uri="311e9238-32ac-4cb4-b5e0-4396fa082008"/>
    <ds:schemaRef ds:uri="http://purl.org/dc/elements/1.1/"/>
    <ds:schemaRef ds:uri="http://purl.org/dc/dcmitype/"/>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493bb6ee-ddc6-4c5c-988d-d27208970a9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1570</Words>
  <Characters>8950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Euan Morrison</dc:creator>
  <cp:keywords/>
  <dc:description/>
  <cp:lastModifiedBy>Rachel Boyd</cp:lastModifiedBy>
  <cp:revision>2</cp:revision>
  <cp:lastPrinted>2023-04-03T13:41:00Z</cp:lastPrinted>
  <dcterms:created xsi:type="dcterms:W3CDTF">2023-07-19T09:40:00Z</dcterms:created>
  <dcterms:modified xsi:type="dcterms:W3CDTF">2023-08-02T16:19:00Z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0x010100B3A58BEED5177849ABDF62DDDF5C9406</vt:lpwstr>
  </property>
  <property fmtid="{D5CDD505-2E9C-101B-9397-08002B2CF9AE}" pid="3" name="Order">
    <vt:r8>88400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MediaServiceImageTags">
    <vt:lpwstr/>
  </property>
</Properties>
</file>