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3C3F89" w14:textId="75712006" w:rsidR="009E67A3" w:rsidRPr="00AD4069" w:rsidRDefault="0009744E" w:rsidP="00825404">
      <w:pPr>
        <w:rPr>
          <w:b/>
          <w:bCs/>
          <w:color w:val="0070C0"/>
          <w:sz w:val="24"/>
          <w:szCs w:val="24"/>
        </w:rPr>
      </w:pPr>
      <w:r w:rsidRPr="00AD4069">
        <w:rPr>
          <w:b/>
          <w:bCs/>
          <w:color w:val="0070C0"/>
          <w:sz w:val="24"/>
          <w:szCs w:val="24"/>
        </w:rPr>
        <w:t>ESS analysis of tracker funding conditions question</w:t>
      </w:r>
    </w:p>
    <w:p w14:paraId="2458444B" w14:textId="77777777" w:rsidR="0009744E" w:rsidRDefault="0009744E" w:rsidP="00825404"/>
    <w:p w14:paraId="05DD0FA2" w14:textId="77777777" w:rsidR="00AD4069" w:rsidRPr="00AD4069" w:rsidRDefault="00AD4069" w:rsidP="00AD4069">
      <w:pPr>
        <w:spacing w:after="120"/>
        <w:rPr>
          <w:b/>
          <w:bCs/>
        </w:rPr>
      </w:pPr>
      <w:r w:rsidRPr="00AD4069">
        <w:rPr>
          <w:b/>
          <w:bCs/>
        </w:rPr>
        <w:t>Background</w:t>
      </w:r>
    </w:p>
    <w:p w14:paraId="7893A504" w14:textId="0CB40914" w:rsidR="00CD6B49" w:rsidRDefault="00956047" w:rsidP="00D34784">
      <w:r>
        <w:t>The Scottish Third Sector Tracker</w:t>
      </w:r>
      <w:r w:rsidR="00704772">
        <w:rPr>
          <w:rStyle w:val="FootnoteReference"/>
        </w:rPr>
        <w:footnoteReference w:id="1"/>
      </w:r>
      <w:r>
        <w:t xml:space="preserve"> </w:t>
      </w:r>
      <w:r w:rsidR="00FB411D">
        <w:t>has been colle</w:t>
      </w:r>
      <w:r w:rsidR="003B18E0">
        <w:t>c</w:t>
      </w:r>
      <w:r w:rsidR="00FB411D">
        <w:t>ting</w:t>
      </w:r>
      <w:r>
        <w:t xml:space="preserve"> panel data </w:t>
      </w:r>
      <w:r w:rsidR="00F92E27">
        <w:t xml:space="preserve">from Scottish third sector organisations </w:t>
      </w:r>
      <w:r w:rsidR="003B18E0">
        <w:t>since</w:t>
      </w:r>
      <w:r w:rsidR="00F92E27">
        <w:t xml:space="preserve"> summer 2021 </w:t>
      </w:r>
      <w:r>
        <w:t xml:space="preserve">to give current insights into the state of the sector. </w:t>
      </w:r>
      <w:r w:rsidR="00F92E27">
        <w:t xml:space="preserve"> The tracker collects data every </w:t>
      </w:r>
      <w:r w:rsidR="00465683">
        <w:t>four months.  The</w:t>
      </w:r>
      <w:r w:rsidR="00684AD6">
        <w:t xml:space="preserve"> seventh wave took place in November 2023</w:t>
      </w:r>
      <w:r w:rsidR="00CD6B49">
        <w:t xml:space="preserve"> and </w:t>
      </w:r>
      <w:r w:rsidR="00C64984">
        <w:t>collected data</w:t>
      </w:r>
      <w:r w:rsidR="00CD6B49">
        <w:t xml:space="preserve"> from 621 organisations</w:t>
      </w:r>
      <w:r w:rsidR="00684AD6">
        <w:t xml:space="preserve">.  </w:t>
      </w:r>
    </w:p>
    <w:p w14:paraId="37BE8C7E" w14:textId="77777777" w:rsidR="00CD6B49" w:rsidRDefault="00CD6B49" w:rsidP="00D34784"/>
    <w:p w14:paraId="16D1938B" w14:textId="6FA01588" w:rsidR="00887328" w:rsidRDefault="006E35D3" w:rsidP="00887328">
      <w:r>
        <w:t>In that</w:t>
      </w:r>
      <w:r w:rsidR="00887328">
        <w:t xml:space="preserve"> wave</w:t>
      </w:r>
      <w:r w:rsidR="009225A8">
        <w:t>,</w:t>
      </w:r>
      <w:r w:rsidR="00887328">
        <w:t xml:space="preserve"> regularly funded organisations</w:t>
      </w:r>
      <w:r>
        <w:t xml:space="preserve"> were asked</w:t>
      </w:r>
      <w:r w:rsidR="00887328">
        <w:t xml:space="preserve"> if they believed the conditions attached to their funding had become more or less demanding over the past year. </w:t>
      </w:r>
      <w:r w:rsidR="003C007A">
        <w:t xml:space="preserve"> </w:t>
      </w:r>
      <w:r w:rsidR="00887328">
        <w:t xml:space="preserve">Over half of respondents (55%), thought the conditions had remained about the same, but </w:t>
      </w:r>
      <w:r w:rsidR="00887328" w:rsidRPr="003C007A">
        <w:t>39%</w:t>
      </w:r>
      <w:r w:rsidR="00887328">
        <w:t xml:space="preserve"> thought the conditions either a little more demanding (20%) or much more demanding, 19%. Only 3% thought the conditions attached to the funding they receive less demanding than a year ago. </w:t>
      </w:r>
    </w:p>
    <w:p w14:paraId="76AA6CBE" w14:textId="77777777" w:rsidR="00CD6B49" w:rsidRDefault="00CD6B49" w:rsidP="00887328"/>
    <w:p w14:paraId="0115F38C" w14:textId="70C07070" w:rsidR="00887328" w:rsidRDefault="00CD6B49" w:rsidP="00887328">
      <w:r>
        <w:t>R</w:t>
      </w:r>
      <w:r w:rsidR="00887328">
        <w:t xml:space="preserve">espondents who thought that conditions attached to the funding they receive had become </w:t>
      </w:r>
      <w:r w:rsidR="00887328" w:rsidRPr="00F362E7">
        <w:rPr>
          <w:b/>
          <w:bCs/>
        </w:rPr>
        <w:t>more demanding</w:t>
      </w:r>
      <w:r w:rsidR="00887328">
        <w:t xml:space="preserve">, </w:t>
      </w:r>
      <w:r>
        <w:t xml:space="preserve">were asked </w:t>
      </w:r>
      <w:r w:rsidR="00887328">
        <w:t xml:space="preserve">to tell us in what ways those conditions had become more demanding. </w:t>
      </w:r>
      <w:r w:rsidR="00F362E7">
        <w:t xml:space="preserve"> </w:t>
      </w:r>
      <w:r w:rsidR="00887328">
        <w:t xml:space="preserve">This question had </w:t>
      </w:r>
      <w:r w:rsidR="00887328" w:rsidRPr="00511725">
        <w:rPr>
          <w:b/>
          <w:bCs/>
        </w:rPr>
        <w:t>152</w:t>
      </w:r>
      <w:r w:rsidR="00887328">
        <w:t xml:space="preserve"> responses. </w:t>
      </w:r>
    </w:p>
    <w:p w14:paraId="388B9757" w14:textId="77777777" w:rsidR="00CD6B49" w:rsidRDefault="00CD6B49" w:rsidP="00887328"/>
    <w:p w14:paraId="6704474B" w14:textId="77005C0E" w:rsidR="00CD6B49" w:rsidRDefault="00CD6B49" w:rsidP="00887328">
      <w:r>
        <w:t>This report by Steven Marwick</w:t>
      </w:r>
      <w:r w:rsidR="00C64984">
        <w:t xml:space="preserve"> from Evaluation Support Scotland</w:t>
      </w:r>
      <w:r w:rsidR="006E35D3">
        <w:t xml:space="preserve"> </w:t>
      </w:r>
      <w:r w:rsidR="000A1925">
        <w:t xml:space="preserve">(ESS) </w:t>
      </w:r>
      <w:r w:rsidR="006E35D3">
        <w:t xml:space="preserve">analyses </w:t>
      </w:r>
      <w:r w:rsidR="000A1925" w:rsidRPr="000A1925">
        <w:rPr>
          <w:b/>
          <w:bCs/>
        </w:rPr>
        <w:t>105</w:t>
      </w:r>
      <w:r w:rsidR="000A1925">
        <w:t xml:space="preserve"> of those </w:t>
      </w:r>
      <w:r w:rsidR="006E35D3">
        <w:t xml:space="preserve">responses </w:t>
      </w:r>
      <w:r w:rsidR="000A1925">
        <w:t xml:space="preserve">(see </w:t>
      </w:r>
      <w:r w:rsidR="007763C4">
        <w:t>a</w:t>
      </w:r>
      <w:r w:rsidR="000A1925">
        <w:t xml:space="preserve">nnex for exclusion reasons) </w:t>
      </w:r>
      <w:r w:rsidR="006E35D3">
        <w:t>and pulls out themes.</w:t>
      </w:r>
    </w:p>
    <w:p w14:paraId="7E818758" w14:textId="77777777" w:rsidR="000A1925" w:rsidRDefault="000A1925" w:rsidP="00887328"/>
    <w:p w14:paraId="0FD682C0" w14:textId="77777777" w:rsidR="00D05900" w:rsidRDefault="00D05900" w:rsidP="00887328"/>
    <w:p w14:paraId="64CE4801" w14:textId="259A4E10" w:rsidR="000A1925" w:rsidRPr="00D05900" w:rsidRDefault="000A1925" w:rsidP="00D05900">
      <w:pPr>
        <w:spacing w:after="120"/>
        <w:rPr>
          <w:b/>
          <w:bCs/>
        </w:rPr>
      </w:pPr>
      <w:r w:rsidRPr="007763C4">
        <w:rPr>
          <w:b/>
          <w:bCs/>
        </w:rPr>
        <w:t>Analysis summary</w:t>
      </w:r>
    </w:p>
    <w:p w14:paraId="713145FB" w14:textId="5C10F66B" w:rsidR="00BA5CF8" w:rsidRPr="00B95438" w:rsidRDefault="00BA5CF8" w:rsidP="00B95438">
      <w:pPr>
        <w:pStyle w:val="ListParagraph"/>
        <w:numPr>
          <w:ilvl w:val="0"/>
          <w:numId w:val="27"/>
        </w:numPr>
        <w:ind w:left="360"/>
      </w:pPr>
      <w:r>
        <w:t xml:space="preserve">The biggest category of responses (29%) did not give detail eg </w:t>
      </w:r>
      <w:r w:rsidRPr="00B95438">
        <w:rPr>
          <w:i/>
          <w:iCs/>
        </w:rPr>
        <w:t>“Excessive monitoring reports.”</w:t>
      </w:r>
      <w:r>
        <w:t xml:space="preserve"> Or “</w:t>
      </w:r>
      <w:r w:rsidRPr="00B95438">
        <w:rPr>
          <w:i/>
          <w:iCs/>
        </w:rPr>
        <w:t xml:space="preserve">Looking for more information. More monitoring.” </w:t>
      </w:r>
    </w:p>
    <w:p w14:paraId="4721FA53" w14:textId="77777777" w:rsidR="00B95438" w:rsidRDefault="00B95438" w:rsidP="00B95438">
      <w:pPr>
        <w:pStyle w:val="ListParagraph"/>
        <w:ind w:left="360"/>
      </w:pPr>
    </w:p>
    <w:p w14:paraId="5CA67561" w14:textId="39F5708E" w:rsidR="00BA5CF8" w:rsidRDefault="00D417A6" w:rsidP="00B95438">
      <w:pPr>
        <w:pStyle w:val="ListParagraph"/>
        <w:numPr>
          <w:ilvl w:val="0"/>
          <w:numId w:val="27"/>
        </w:numPr>
        <w:ind w:left="360"/>
      </w:pPr>
      <w:r>
        <w:t xml:space="preserve">A quarter </w:t>
      </w:r>
      <w:r w:rsidR="00CD5AA7">
        <w:t xml:space="preserve">said they had </w:t>
      </w:r>
      <w:r w:rsidR="003C007A">
        <w:t>to do more</w:t>
      </w:r>
      <w:r w:rsidR="00CD5AA7">
        <w:t xml:space="preserve"> work with the same </w:t>
      </w:r>
      <w:r w:rsidR="00ED7C96">
        <w:t>or less (in inflationary terms) funding.  Some also mentioned having to fill gaps in public services.</w:t>
      </w:r>
    </w:p>
    <w:p w14:paraId="5D4AEFE0" w14:textId="77777777" w:rsidR="00ED7C96" w:rsidRDefault="00ED7C96" w:rsidP="00B95438"/>
    <w:p w14:paraId="46ABA125" w14:textId="01FF9056" w:rsidR="00ED7C96" w:rsidRDefault="007E0146" w:rsidP="00B95438">
      <w:pPr>
        <w:pStyle w:val="ListParagraph"/>
        <w:numPr>
          <w:ilvl w:val="0"/>
          <w:numId w:val="27"/>
        </w:numPr>
        <w:ind w:left="360"/>
      </w:pPr>
      <w:r>
        <w:t xml:space="preserve">Another quarter </w:t>
      </w:r>
      <w:r w:rsidR="003C007A">
        <w:t>mentioned</w:t>
      </w:r>
      <w:r w:rsidR="00E04600">
        <w:t xml:space="preserve"> </w:t>
      </w:r>
      <w:r>
        <w:t>increased burdens in</w:t>
      </w:r>
      <w:r w:rsidR="00E04600">
        <w:t xml:space="preserve"> </w:t>
      </w:r>
      <w:r w:rsidR="003C007A">
        <w:t xml:space="preserve">reporting </w:t>
      </w:r>
      <w:r w:rsidR="00E04600">
        <w:t>format or frequency</w:t>
      </w:r>
      <w:r w:rsidR="003C007A">
        <w:t>,</w:t>
      </w:r>
      <w:r>
        <w:t xml:space="preserve"> more </w:t>
      </w:r>
      <w:r w:rsidR="00E2788C">
        <w:t xml:space="preserve">burdensome </w:t>
      </w:r>
      <w:r>
        <w:t xml:space="preserve">financial scrutiny or payment </w:t>
      </w:r>
      <w:r w:rsidR="003C007A">
        <w:t>in ar</w:t>
      </w:r>
      <w:r w:rsidR="00660215">
        <w:t>r</w:t>
      </w:r>
      <w:r w:rsidR="003C007A">
        <w:t>ears</w:t>
      </w:r>
      <w:r>
        <w:t>.</w:t>
      </w:r>
    </w:p>
    <w:p w14:paraId="17E4CEFF" w14:textId="77777777" w:rsidR="00550B96" w:rsidRDefault="00550B96" w:rsidP="00B95438"/>
    <w:p w14:paraId="6FF5FCF1" w14:textId="774E856D" w:rsidR="00550B96" w:rsidRDefault="00550B96" w:rsidP="00B95438">
      <w:pPr>
        <w:pStyle w:val="ListParagraph"/>
        <w:numPr>
          <w:ilvl w:val="0"/>
          <w:numId w:val="27"/>
        </w:numPr>
        <w:ind w:left="360"/>
      </w:pPr>
      <w:r>
        <w:t xml:space="preserve">13% </w:t>
      </w:r>
      <w:r w:rsidR="00D05900">
        <w:t>talked of</w:t>
      </w:r>
      <w:r w:rsidR="00A70B73">
        <w:t xml:space="preserve"> </w:t>
      </w:r>
      <w:r w:rsidR="00D05900">
        <w:t>new onerous</w:t>
      </w:r>
      <w:r w:rsidR="00A70B73">
        <w:t xml:space="preserve"> terms and conditions, often </w:t>
      </w:r>
      <w:r w:rsidR="00D05900">
        <w:t>related</w:t>
      </w:r>
      <w:r w:rsidR="00A70B73">
        <w:t xml:space="preserve"> to Fair Work</w:t>
      </w:r>
      <w:r w:rsidR="00D05900">
        <w:t>.</w:t>
      </w:r>
    </w:p>
    <w:p w14:paraId="7057D00D" w14:textId="77777777" w:rsidR="00080342" w:rsidRDefault="00080342" w:rsidP="00B95438"/>
    <w:p w14:paraId="5E800D20" w14:textId="34BB4B48" w:rsidR="00080342" w:rsidRDefault="00080342" w:rsidP="00B95438">
      <w:pPr>
        <w:pStyle w:val="ListParagraph"/>
        <w:numPr>
          <w:ilvl w:val="0"/>
          <w:numId w:val="27"/>
        </w:numPr>
        <w:ind w:left="360"/>
      </w:pPr>
      <w:r>
        <w:t xml:space="preserve">The remainder </w:t>
      </w:r>
      <w:r w:rsidR="00B95438">
        <w:t>complained</w:t>
      </w:r>
      <w:r>
        <w:t xml:space="preserve"> about challenging communication with grant managers</w:t>
      </w:r>
      <w:r w:rsidR="00B95438">
        <w:t xml:space="preserve"> such as changes in monitoring demands or late notification.</w:t>
      </w:r>
    </w:p>
    <w:p w14:paraId="3DC5026A" w14:textId="77777777" w:rsidR="007E0146" w:rsidRDefault="007E0146" w:rsidP="00B95438"/>
    <w:p w14:paraId="0513F046" w14:textId="3DF35B96" w:rsidR="000A1925" w:rsidRDefault="000A1925" w:rsidP="00B95438">
      <w:pPr>
        <w:pStyle w:val="ListParagraph"/>
        <w:numPr>
          <w:ilvl w:val="0"/>
          <w:numId w:val="27"/>
        </w:numPr>
        <w:ind w:left="360"/>
      </w:pPr>
      <w:r>
        <w:t xml:space="preserve">Scottish Government was referred to negatively in </w:t>
      </w:r>
      <w:r w:rsidRPr="00B95438">
        <w:rPr>
          <w:b/>
          <w:bCs/>
        </w:rPr>
        <w:t xml:space="preserve">16 </w:t>
      </w:r>
      <w:r>
        <w:t>different responses.</w:t>
      </w:r>
      <w:r w:rsidR="00D05900">
        <w:t xml:space="preserve">  </w:t>
      </w:r>
      <w:r w:rsidR="00C25B61">
        <w:t>No</w:t>
      </w:r>
      <w:r w:rsidR="00D05900">
        <w:t xml:space="preserve"> other funders were mentioned by name.</w:t>
      </w:r>
    </w:p>
    <w:p w14:paraId="75A92195" w14:textId="77777777" w:rsidR="00B95438" w:rsidRDefault="00B95438" w:rsidP="00B95438">
      <w:pPr>
        <w:pStyle w:val="ListParagraph"/>
      </w:pPr>
    </w:p>
    <w:p w14:paraId="5B4B5FDA" w14:textId="4E4AD1A7" w:rsidR="00B95438" w:rsidRDefault="00B95438" w:rsidP="00B95438">
      <w:r>
        <w:t xml:space="preserve">Overall this </w:t>
      </w:r>
      <w:r w:rsidR="000532BA">
        <w:t xml:space="preserve">ESS </w:t>
      </w:r>
      <w:r w:rsidR="001170DA">
        <w:t xml:space="preserve">report probably </w:t>
      </w:r>
      <w:r w:rsidR="000532BA">
        <w:t>doesn’t</w:t>
      </w:r>
      <w:r>
        <w:t xml:space="preserve"> </w:t>
      </w:r>
      <w:r w:rsidR="00055869">
        <w:t>add a lot</w:t>
      </w:r>
      <w:r w:rsidR="000532BA">
        <w:t xml:space="preserve"> to the overall </w:t>
      </w:r>
      <w:r w:rsidR="00055869">
        <w:t xml:space="preserve">seventh wave tracker report.  However, it does provide a little more </w:t>
      </w:r>
      <w:r>
        <w:t xml:space="preserve">evidence </w:t>
      </w:r>
      <w:r w:rsidR="00055869">
        <w:t>of how</w:t>
      </w:r>
      <w:r w:rsidR="003C007A">
        <w:t xml:space="preserve"> </w:t>
      </w:r>
      <w:r w:rsidR="003C007A" w:rsidRPr="003C007A">
        <w:rPr>
          <w:u w:val="single"/>
        </w:rPr>
        <w:t>some</w:t>
      </w:r>
      <w:r w:rsidR="001170DA">
        <w:t xml:space="preserve"> organisations in the sector (possibly those with public funding?) are experiencing less supportive </w:t>
      </w:r>
      <w:r w:rsidR="00D05900">
        <w:t>funding relationship</w:t>
      </w:r>
      <w:r w:rsidR="00055869">
        <w:t>s</w:t>
      </w:r>
      <w:r w:rsidR="00D05900">
        <w:t>.</w:t>
      </w:r>
    </w:p>
    <w:p w14:paraId="60C23E01" w14:textId="77777777" w:rsidR="00887328" w:rsidRDefault="00887328" w:rsidP="00B95438"/>
    <w:p w14:paraId="0BCAFA66" w14:textId="4058AD5F" w:rsidR="006D2DD7" w:rsidRDefault="006D2DD7"/>
    <w:p w14:paraId="1F52DA48" w14:textId="57C4C9C0" w:rsidR="005B24EC" w:rsidRDefault="005C2E0C">
      <w:r>
        <w:lastRenderedPageBreak/>
        <w:t>ESS</w:t>
      </w:r>
      <w:r w:rsidR="006D2DD7">
        <w:t xml:space="preserve"> coded each response, giving each </w:t>
      </w:r>
      <w:r w:rsidR="00243EC3">
        <w:t>a single code - see pie chart</w:t>
      </w:r>
      <w:r w:rsidR="006D2DD7">
        <w:t xml:space="preserve"> </w:t>
      </w:r>
      <w:r w:rsidR="00243EC3">
        <w:t>below</w:t>
      </w:r>
      <w:r w:rsidR="00C64984">
        <w:t>.</w:t>
      </w:r>
      <w:r w:rsidR="00186EDD">
        <w:t xml:space="preserve">  More detail and examples follow.</w:t>
      </w:r>
    </w:p>
    <w:p w14:paraId="394DA8A6" w14:textId="77777777" w:rsidR="00684F62" w:rsidRDefault="00684F62"/>
    <w:p w14:paraId="7FD4EEBA" w14:textId="4C276AE6" w:rsidR="00D5123E" w:rsidRDefault="007763C4">
      <w:r>
        <w:rPr>
          <w:noProof/>
        </w:rPr>
        <w:drawing>
          <wp:inline distT="0" distB="0" distL="0" distR="0" wp14:anchorId="1F3CD831" wp14:editId="7C3E9315">
            <wp:extent cx="5553075" cy="3378200"/>
            <wp:effectExtent l="0" t="0" r="9525" b="12700"/>
            <wp:docPr id="1097009725" name="Chart 1">
              <a:extLst xmlns:a="http://schemas.openxmlformats.org/drawingml/2006/main">
                <a:ext uri="{FF2B5EF4-FFF2-40B4-BE49-F238E27FC236}">
                  <a16:creationId xmlns:a16="http://schemas.microsoft.com/office/drawing/2014/main" id="{C1808A41-D80A-04BB-24D4-87B0542381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C0E352E" w14:textId="3FEBA5BF" w:rsidR="00D5123E" w:rsidRDefault="00D5123E"/>
    <w:p w14:paraId="37A0DADE" w14:textId="77777777" w:rsidR="00186EDD" w:rsidRDefault="00186EDD"/>
    <w:p w14:paraId="644A42D8" w14:textId="729C76AD" w:rsidR="00186EDD" w:rsidRPr="00C76749" w:rsidRDefault="00186EDD" w:rsidP="00AD4D08">
      <w:pPr>
        <w:spacing w:after="120"/>
        <w:rPr>
          <w:b/>
          <w:bCs/>
        </w:rPr>
      </w:pPr>
      <w:r w:rsidRPr="00C76749">
        <w:rPr>
          <w:b/>
          <w:bCs/>
        </w:rPr>
        <w:t xml:space="preserve">Unspecific </w:t>
      </w:r>
      <w:r w:rsidR="00D16966">
        <w:rPr>
          <w:b/>
          <w:bCs/>
        </w:rPr>
        <w:t xml:space="preserve">comments </w:t>
      </w:r>
    </w:p>
    <w:p w14:paraId="462FC7E3" w14:textId="77777777" w:rsidR="00D16966" w:rsidRDefault="00664DA4">
      <w:r>
        <w:t>The biggest category of responses</w:t>
      </w:r>
      <w:r w:rsidR="00E37C6D">
        <w:t xml:space="preserve"> – 30 (29%) did not give detail</w:t>
      </w:r>
      <w:r w:rsidR="00C76749">
        <w:t xml:space="preserve"> eg </w:t>
      </w:r>
      <w:r w:rsidR="00C76749" w:rsidRPr="00C76749">
        <w:rPr>
          <w:i/>
          <w:iCs/>
        </w:rPr>
        <w:t>“Excessive monitoring reports.”</w:t>
      </w:r>
      <w:r w:rsidR="00C76749">
        <w:t xml:space="preserve"> Or “</w:t>
      </w:r>
      <w:r w:rsidR="00C76749" w:rsidRPr="00C76749">
        <w:rPr>
          <w:i/>
          <w:iCs/>
        </w:rPr>
        <w:t>Looking for more information. More monitoring.”</w:t>
      </w:r>
      <w:r w:rsidR="00AD4D08">
        <w:rPr>
          <w:i/>
          <w:iCs/>
        </w:rPr>
        <w:t xml:space="preserve"> </w:t>
      </w:r>
      <w:r w:rsidR="00AD4D08">
        <w:t xml:space="preserve">so unfortunately don’t tell us anything useful.  </w:t>
      </w:r>
    </w:p>
    <w:p w14:paraId="47DB0587" w14:textId="77777777" w:rsidR="00D16966" w:rsidRDefault="00D16966"/>
    <w:p w14:paraId="26187F3F" w14:textId="159A6FC1" w:rsidR="00AD4D08" w:rsidRPr="00AD4D08" w:rsidRDefault="00D16966">
      <w:r>
        <w:t>However,</w:t>
      </w:r>
      <w:r w:rsidR="00AD4D08">
        <w:t xml:space="preserve"> I’ve turned the salient adjective in each response into a word cloud</w:t>
      </w:r>
      <w:r>
        <w:t>:</w:t>
      </w:r>
    </w:p>
    <w:p w14:paraId="7150514D" w14:textId="42229179" w:rsidR="00AD4D08" w:rsidRDefault="00DF3B45">
      <w:pPr>
        <w:rPr>
          <w:i/>
          <w:iCs/>
        </w:rPr>
      </w:pPr>
      <w:r w:rsidRPr="00AD4D08">
        <w:rPr>
          <w:noProof/>
        </w:rPr>
        <w:drawing>
          <wp:anchor distT="0" distB="0" distL="114300" distR="114300" simplePos="0" relativeHeight="251658240" behindDoc="0" locked="0" layoutInCell="1" allowOverlap="1" wp14:anchorId="0636098D" wp14:editId="4F92A806">
            <wp:simplePos x="0" y="0"/>
            <wp:positionH relativeFrom="column">
              <wp:posOffset>153670</wp:posOffset>
            </wp:positionH>
            <wp:positionV relativeFrom="paragraph">
              <wp:posOffset>28575</wp:posOffset>
            </wp:positionV>
            <wp:extent cx="5143047" cy="2146300"/>
            <wp:effectExtent l="0" t="0" r="635" b="6350"/>
            <wp:wrapSquare wrapText="bothSides"/>
            <wp:docPr id="1601782024" name="Picture 1" descr="A close-up of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782024" name="Picture 1" descr="A close-up of words&#10;&#10;Description automatically generated"/>
                    <pic:cNvPicPr/>
                  </pic:nvPicPr>
                  <pic:blipFill rotWithShape="1">
                    <a:blip r:embed="rId12">
                      <a:extLst>
                        <a:ext uri="{28A0092B-C50C-407E-A947-70E740481C1C}">
                          <a14:useLocalDpi xmlns:a14="http://schemas.microsoft.com/office/drawing/2010/main" val="0"/>
                        </a:ext>
                      </a:extLst>
                    </a:blip>
                    <a:srcRect l="14664" t="11986" r="3859"/>
                    <a:stretch/>
                  </pic:blipFill>
                  <pic:spPr bwMode="auto">
                    <a:xfrm>
                      <a:off x="0" y="0"/>
                      <a:ext cx="5143047" cy="2146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1D7BB9" w14:textId="416E5E40" w:rsidR="00AD4D08" w:rsidRDefault="00AD4D08"/>
    <w:p w14:paraId="2CC8EF59" w14:textId="77777777" w:rsidR="00DF3B45" w:rsidRDefault="00DF3B45" w:rsidP="00DF3B45">
      <w:pPr>
        <w:spacing w:after="120"/>
        <w:rPr>
          <w:b/>
          <w:bCs/>
        </w:rPr>
      </w:pPr>
    </w:p>
    <w:p w14:paraId="2738BFD3" w14:textId="77777777" w:rsidR="00DF3B45" w:rsidRDefault="00DF3B45" w:rsidP="00DF3B45">
      <w:pPr>
        <w:spacing w:after="120"/>
        <w:rPr>
          <w:b/>
          <w:bCs/>
        </w:rPr>
      </w:pPr>
    </w:p>
    <w:p w14:paraId="44F32A98" w14:textId="77777777" w:rsidR="00DF3B45" w:rsidRDefault="00DF3B45" w:rsidP="00DF3B45">
      <w:pPr>
        <w:spacing w:after="120"/>
        <w:rPr>
          <w:b/>
          <w:bCs/>
        </w:rPr>
      </w:pPr>
    </w:p>
    <w:p w14:paraId="3E6D384A" w14:textId="77777777" w:rsidR="00DF3B45" w:rsidRDefault="00DF3B45" w:rsidP="00DF3B45">
      <w:pPr>
        <w:spacing w:after="120"/>
        <w:rPr>
          <w:b/>
          <w:bCs/>
        </w:rPr>
      </w:pPr>
    </w:p>
    <w:p w14:paraId="6B38398C" w14:textId="77777777" w:rsidR="00DF3B45" w:rsidRDefault="00DF3B45" w:rsidP="00DF3B45">
      <w:pPr>
        <w:spacing w:after="120"/>
        <w:rPr>
          <w:b/>
          <w:bCs/>
        </w:rPr>
      </w:pPr>
    </w:p>
    <w:p w14:paraId="795B3DCB" w14:textId="77777777" w:rsidR="00DF3B45" w:rsidRDefault="00DF3B45" w:rsidP="00DF3B45">
      <w:pPr>
        <w:spacing w:after="120"/>
        <w:rPr>
          <w:b/>
          <w:bCs/>
        </w:rPr>
      </w:pPr>
    </w:p>
    <w:p w14:paraId="10630409" w14:textId="77777777" w:rsidR="00DF3B45" w:rsidRDefault="00DF3B45" w:rsidP="00DF3B45">
      <w:pPr>
        <w:spacing w:after="120"/>
        <w:rPr>
          <w:b/>
          <w:bCs/>
        </w:rPr>
      </w:pPr>
    </w:p>
    <w:p w14:paraId="788193C5" w14:textId="77777777" w:rsidR="00DF3B45" w:rsidRDefault="00DF3B45" w:rsidP="00DF3B45">
      <w:pPr>
        <w:spacing w:after="120"/>
        <w:rPr>
          <w:b/>
          <w:bCs/>
        </w:rPr>
      </w:pPr>
    </w:p>
    <w:p w14:paraId="6479D94E" w14:textId="3FB5D9B1" w:rsidR="00B7000D" w:rsidRDefault="00B7000D" w:rsidP="00DF3B45">
      <w:pPr>
        <w:spacing w:after="120"/>
        <w:rPr>
          <w:b/>
          <w:bCs/>
        </w:rPr>
      </w:pPr>
      <w:r>
        <w:rPr>
          <w:b/>
          <w:bCs/>
        </w:rPr>
        <w:t>Expected to do more for less</w:t>
      </w:r>
    </w:p>
    <w:p w14:paraId="722BADE3" w14:textId="20587561" w:rsidR="00DF3B45" w:rsidRDefault="00B7000D" w:rsidP="00DF3B45">
      <w:pPr>
        <w:spacing w:after="120"/>
      </w:pPr>
      <w:r>
        <w:t xml:space="preserve">The next most common category – 24 (23%) was respondents </w:t>
      </w:r>
      <w:r w:rsidR="00DF3B45">
        <w:t xml:space="preserve">being </w:t>
      </w:r>
      <w:r>
        <w:t>expected to do more work for less money.</w:t>
      </w:r>
      <w:r w:rsidR="00621240">
        <w:t xml:space="preserve">  </w:t>
      </w:r>
      <w:r w:rsidR="00820ADE">
        <w:t xml:space="preserve">It didn’t appear that this was an explicit change in the conditions of the funding; more that the </w:t>
      </w:r>
      <w:r w:rsidR="00FF1365">
        <w:t>respondent had more work to do with the same amount of funding.</w:t>
      </w:r>
      <w:r w:rsidR="00061DA7">
        <w:t xml:space="preserve">  </w:t>
      </w:r>
      <w:r w:rsidR="00DF3B45">
        <w:t xml:space="preserve">This response is typical of most:  </w:t>
      </w:r>
    </w:p>
    <w:p w14:paraId="44E28ECB" w14:textId="1795942D" w:rsidR="00061DA7" w:rsidRPr="00C70555" w:rsidRDefault="00DF3B45" w:rsidP="007763C4">
      <w:pPr>
        <w:ind w:left="284"/>
        <w:rPr>
          <w:i/>
          <w:iCs/>
        </w:rPr>
      </w:pPr>
      <w:r w:rsidRPr="00DF3B45">
        <w:rPr>
          <w:i/>
          <w:iCs/>
        </w:rPr>
        <w:lastRenderedPageBreak/>
        <w:t>“We are still expected to deliver on our objectives but with less money to do it with. Although our grant remains the same in real terms, due to cost of living increases and increased costs it equates to less.”</w:t>
      </w:r>
    </w:p>
    <w:p w14:paraId="43BDA9EC" w14:textId="77777777" w:rsidR="007763C4" w:rsidRDefault="007763C4" w:rsidP="007763C4"/>
    <w:p w14:paraId="67784858" w14:textId="381CCBA7" w:rsidR="00621240" w:rsidRDefault="00061DA7" w:rsidP="00DF3B45">
      <w:pPr>
        <w:spacing w:after="120"/>
      </w:pPr>
      <w:r>
        <w:t xml:space="preserve">Some mentioned </w:t>
      </w:r>
      <w:r w:rsidR="00DF3B45">
        <w:t>having to cover gaps</w:t>
      </w:r>
      <w:r>
        <w:t xml:space="preserve"> in public sector service</w:t>
      </w:r>
      <w:r w:rsidR="00DF3B45">
        <w:t>s</w:t>
      </w:r>
      <w:r>
        <w:t>, for example:</w:t>
      </w:r>
    </w:p>
    <w:p w14:paraId="79F67161" w14:textId="7F14FCF0" w:rsidR="00936189" w:rsidRDefault="00061DA7" w:rsidP="00C70555">
      <w:pPr>
        <w:spacing w:after="120"/>
        <w:ind w:left="284"/>
        <w:rPr>
          <w:i/>
          <w:iCs/>
        </w:rPr>
      </w:pPr>
      <w:r w:rsidRPr="00061DA7">
        <w:rPr>
          <w:i/>
          <w:iCs/>
        </w:rPr>
        <w:t>“Everyone wants more for the same or less money. Same service delivery with no additional funding. Funded by statutory health care we are increasingly picked up gaps they can't cope with.”</w:t>
      </w:r>
    </w:p>
    <w:p w14:paraId="3BB63B4B" w14:textId="559F9358" w:rsidR="00FF6711" w:rsidRPr="00C70555" w:rsidRDefault="00936189" w:rsidP="00D16966">
      <w:pPr>
        <w:ind w:left="284"/>
        <w:rPr>
          <w:i/>
          <w:iCs/>
        </w:rPr>
      </w:pPr>
      <w:r w:rsidRPr="00C70555">
        <w:rPr>
          <w:i/>
          <w:iCs/>
        </w:rPr>
        <w:t xml:space="preserve">“The Council expect us to take the same number of people we provide a service to but are asking us to take people who </w:t>
      </w:r>
      <w:r w:rsidR="0070517B" w:rsidRPr="00C70555">
        <w:rPr>
          <w:i/>
          <w:iCs/>
        </w:rPr>
        <w:t>… are</w:t>
      </w:r>
      <w:r w:rsidRPr="00C70555">
        <w:rPr>
          <w:i/>
          <w:iCs/>
        </w:rPr>
        <w:t xml:space="preserve"> much more impaired </w:t>
      </w:r>
      <w:r w:rsidR="0070517B" w:rsidRPr="00C70555">
        <w:rPr>
          <w:i/>
          <w:iCs/>
        </w:rPr>
        <w:t xml:space="preserve">… </w:t>
      </w:r>
      <w:r w:rsidR="003F7085" w:rsidRPr="00C70555">
        <w:rPr>
          <w:i/>
          <w:iCs/>
        </w:rPr>
        <w:t>We need a higher staff ratio for each person because of their erratic or sometimes violent behaviour.”</w:t>
      </w:r>
    </w:p>
    <w:p w14:paraId="3ED94B55" w14:textId="77777777" w:rsidR="00FF6711" w:rsidRPr="00D16966" w:rsidRDefault="00FF6711" w:rsidP="00D16966"/>
    <w:p w14:paraId="1C352E4A" w14:textId="79157837" w:rsidR="00FF6711" w:rsidRDefault="00FF6711" w:rsidP="00BB3603">
      <w:pPr>
        <w:spacing w:after="120"/>
        <w:rPr>
          <w:b/>
          <w:bCs/>
        </w:rPr>
      </w:pPr>
      <w:r>
        <w:rPr>
          <w:b/>
          <w:bCs/>
        </w:rPr>
        <w:t>Format and frequency of reporting</w:t>
      </w:r>
    </w:p>
    <w:p w14:paraId="24D5BD7C" w14:textId="694C1ADA" w:rsidR="00E64EF0" w:rsidRDefault="00BB3603" w:rsidP="003C42BE">
      <w:pPr>
        <w:spacing w:after="120"/>
      </w:pPr>
      <w:r>
        <w:t>14 respondents (13%) talked about more demands in relation the format or frequency of reporting of reporting</w:t>
      </w:r>
      <w:r w:rsidR="00A43EBE">
        <w:t>, for example:</w:t>
      </w:r>
    </w:p>
    <w:p w14:paraId="52F0C716" w14:textId="0CC30B7E" w:rsidR="00A43EBE" w:rsidRDefault="00A43EBE" w:rsidP="003C42BE">
      <w:pPr>
        <w:pStyle w:val="ListParagraph"/>
        <w:numPr>
          <w:ilvl w:val="0"/>
          <w:numId w:val="26"/>
        </w:numPr>
        <w:spacing w:after="120"/>
        <w:contextualSpacing w:val="0"/>
      </w:pPr>
      <w:r>
        <w:t>More onerous online reporting</w:t>
      </w:r>
    </w:p>
    <w:p w14:paraId="422971F8" w14:textId="6502189B" w:rsidR="00A43EBE" w:rsidRDefault="00A43EBE" w:rsidP="003C42BE">
      <w:pPr>
        <w:pStyle w:val="ListParagraph"/>
        <w:numPr>
          <w:ilvl w:val="0"/>
          <w:numId w:val="26"/>
        </w:numPr>
        <w:spacing w:after="120"/>
        <w:contextualSpacing w:val="0"/>
      </w:pPr>
      <w:r>
        <w:t>Quarterly reporting when it had been annual</w:t>
      </w:r>
      <w:r w:rsidR="00A41E3C">
        <w:t xml:space="preserve"> or six monthly</w:t>
      </w:r>
    </w:p>
    <w:p w14:paraId="03ACD230" w14:textId="5646BD33" w:rsidR="003C42BE" w:rsidRDefault="003C42BE" w:rsidP="003C42BE">
      <w:pPr>
        <w:pStyle w:val="ListParagraph"/>
        <w:numPr>
          <w:ilvl w:val="0"/>
          <w:numId w:val="26"/>
        </w:numPr>
      </w:pPr>
      <w:r>
        <w:t>Disproportionate amount of reporting for small grants</w:t>
      </w:r>
    </w:p>
    <w:p w14:paraId="53A60D52" w14:textId="77777777" w:rsidR="003C42BE" w:rsidRDefault="003C42BE" w:rsidP="00FF6711"/>
    <w:p w14:paraId="01602FEA" w14:textId="28B35210" w:rsidR="00145EB5" w:rsidRPr="00003602" w:rsidRDefault="003C42BE" w:rsidP="008C699C">
      <w:pPr>
        <w:spacing w:after="120"/>
        <w:rPr>
          <w:u w:val="single"/>
        </w:rPr>
      </w:pPr>
      <w:r w:rsidRPr="00003602">
        <w:rPr>
          <w:u w:val="single"/>
        </w:rPr>
        <w:t xml:space="preserve">Illustrative quotes (my </w:t>
      </w:r>
      <w:r w:rsidR="00B61DC5" w:rsidRPr="00003602">
        <w:rPr>
          <w:u w:val="single"/>
        </w:rPr>
        <w:t>bolding</w:t>
      </w:r>
      <w:r w:rsidRPr="00003602">
        <w:rPr>
          <w:u w:val="single"/>
        </w:rPr>
        <w:t>)</w:t>
      </w:r>
      <w:r w:rsidR="00B61DC5" w:rsidRPr="00003602">
        <w:rPr>
          <w:u w:val="single"/>
        </w:rPr>
        <w:t>:</w:t>
      </w:r>
    </w:p>
    <w:p w14:paraId="39B7EAF7" w14:textId="0AF88346" w:rsidR="008C699C" w:rsidRPr="008C699C" w:rsidRDefault="008C699C" w:rsidP="008C699C">
      <w:pPr>
        <w:spacing w:after="120"/>
        <w:ind w:left="284"/>
        <w:rPr>
          <w:i/>
          <w:iCs/>
        </w:rPr>
      </w:pPr>
      <w:r w:rsidRPr="008C699C">
        <w:rPr>
          <w:i/>
          <w:iCs/>
        </w:rPr>
        <w:t xml:space="preserve">“Reporting has been somewhat more onerous partly due to </w:t>
      </w:r>
      <w:r w:rsidRPr="008C699C">
        <w:rPr>
          <w:b/>
          <w:bCs/>
          <w:i/>
          <w:iCs/>
        </w:rPr>
        <w:t>online reporting</w:t>
      </w:r>
      <w:r w:rsidRPr="008C699C">
        <w:rPr>
          <w:i/>
          <w:iCs/>
        </w:rPr>
        <w:t xml:space="preserve"> and so you need to complete off line and then cut and </w:t>
      </w:r>
      <w:r w:rsidR="00EE1EBD" w:rsidRPr="008C699C">
        <w:rPr>
          <w:i/>
          <w:iCs/>
        </w:rPr>
        <w:t>paste</w:t>
      </w:r>
      <w:r w:rsidRPr="008C699C">
        <w:rPr>
          <w:i/>
          <w:iCs/>
        </w:rPr>
        <w:t xml:space="preserve"> into online forms and forced to adhere to word counts etc”</w:t>
      </w:r>
    </w:p>
    <w:p w14:paraId="5538854C" w14:textId="07DBC2E1" w:rsidR="00414F73" w:rsidRPr="008C699C" w:rsidRDefault="00414F73" w:rsidP="008C699C">
      <w:pPr>
        <w:spacing w:after="120"/>
        <w:ind w:left="284"/>
        <w:rPr>
          <w:i/>
          <w:iCs/>
        </w:rPr>
      </w:pPr>
      <w:r w:rsidRPr="008C699C">
        <w:rPr>
          <w:i/>
          <w:iCs/>
        </w:rPr>
        <w:t>“</w:t>
      </w:r>
      <w:r w:rsidR="00A16504" w:rsidRPr="008C699C">
        <w:rPr>
          <w:i/>
          <w:iCs/>
        </w:rPr>
        <w:t>It</w:t>
      </w:r>
      <w:r w:rsidRPr="008C699C">
        <w:rPr>
          <w:i/>
          <w:iCs/>
        </w:rPr>
        <w:t>’</w:t>
      </w:r>
      <w:r w:rsidR="00A16504" w:rsidRPr="008C699C">
        <w:rPr>
          <w:i/>
          <w:iCs/>
        </w:rPr>
        <w:t xml:space="preserve">s now </w:t>
      </w:r>
      <w:r w:rsidRPr="008C699C">
        <w:rPr>
          <w:i/>
          <w:iCs/>
        </w:rPr>
        <w:t>monitored</w:t>
      </w:r>
      <w:r w:rsidR="00A16504" w:rsidRPr="008C699C">
        <w:rPr>
          <w:i/>
          <w:iCs/>
        </w:rPr>
        <w:t xml:space="preserve"> </w:t>
      </w:r>
      <w:r w:rsidRPr="008C699C">
        <w:rPr>
          <w:b/>
          <w:bCs/>
          <w:i/>
          <w:iCs/>
        </w:rPr>
        <w:t>quarterly</w:t>
      </w:r>
      <w:r w:rsidR="00A16504" w:rsidRPr="008C699C">
        <w:rPr>
          <w:i/>
          <w:iCs/>
        </w:rPr>
        <w:t xml:space="preserve"> rather than annually.</w:t>
      </w:r>
      <w:r w:rsidRPr="008C699C">
        <w:rPr>
          <w:i/>
          <w:iCs/>
        </w:rPr>
        <w:t>”</w:t>
      </w:r>
    </w:p>
    <w:p w14:paraId="7D57EA48" w14:textId="16AFA497" w:rsidR="00A16504" w:rsidRPr="00B61DC5" w:rsidRDefault="00B61DC5" w:rsidP="00B61DC5">
      <w:pPr>
        <w:spacing w:after="120"/>
        <w:ind w:left="284"/>
        <w:rPr>
          <w:i/>
          <w:iCs/>
        </w:rPr>
      </w:pPr>
      <w:r w:rsidRPr="00B61DC5">
        <w:rPr>
          <w:i/>
          <w:iCs/>
        </w:rPr>
        <w:t xml:space="preserve">“Looking for </w:t>
      </w:r>
      <w:r w:rsidRPr="00B61DC5">
        <w:rPr>
          <w:b/>
          <w:bCs/>
          <w:i/>
          <w:iCs/>
        </w:rPr>
        <w:t>quarterly</w:t>
      </w:r>
      <w:r w:rsidRPr="00B61DC5">
        <w:rPr>
          <w:i/>
          <w:iCs/>
        </w:rPr>
        <w:t xml:space="preserve"> reviews, instead of annual. They have reduced our payments. More work, for less money.”</w:t>
      </w:r>
    </w:p>
    <w:p w14:paraId="73188608" w14:textId="69E127D2" w:rsidR="00501E8B" w:rsidRPr="00501E8B" w:rsidRDefault="00501E8B" w:rsidP="00501E8B">
      <w:pPr>
        <w:ind w:left="284"/>
        <w:rPr>
          <w:i/>
          <w:iCs/>
        </w:rPr>
      </w:pPr>
      <w:r w:rsidRPr="00501E8B">
        <w:rPr>
          <w:i/>
          <w:iCs/>
        </w:rPr>
        <w:t xml:space="preserve">“NHS funding for </w:t>
      </w:r>
      <w:r w:rsidRPr="00501E8B">
        <w:rPr>
          <w:b/>
          <w:bCs/>
          <w:i/>
          <w:iCs/>
        </w:rPr>
        <w:t>£500</w:t>
      </w:r>
      <w:r w:rsidRPr="00501E8B">
        <w:rPr>
          <w:i/>
          <w:iCs/>
        </w:rPr>
        <w:t xml:space="preserve"> requesting a </w:t>
      </w:r>
      <w:r w:rsidRPr="00501E8B">
        <w:rPr>
          <w:b/>
          <w:bCs/>
          <w:i/>
          <w:iCs/>
        </w:rPr>
        <w:t>9 page report</w:t>
      </w:r>
      <w:r w:rsidRPr="00501E8B">
        <w:rPr>
          <w:i/>
          <w:iCs/>
        </w:rPr>
        <w:t xml:space="preserve"> at the end of it</w:t>
      </w:r>
      <w:r>
        <w:rPr>
          <w:i/>
          <w:iCs/>
        </w:rPr>
        <w:t>.  T</w:t>
      </w:r>
      <w:r w:rsidRPr="00501E8B">
        <w:rPr>
          <w:i/>
          <w:iCs/>
        </w:rPr>
        <w:t xml:space="preserve">he money only paid for materials so we wouldn't expect the staff time needed for this. </w:t>
      </w:r>
      <w:r w:rsidRPr="00501E8B">
        <w:rPr>
          <w:b/>
          <w:bCs/>
          <w:i/>
          <w:iCs/>
        </w:rPr>
        <w:t>Reporting requirements also changed</w:t>
      </w:r>
      <w:r w:rsidRPr="00501E8B">
        <w:rPr>
          <w:i/>
          <w:iCs/>
        </w:rPr>
        <w:t xml:space="preserve"> after it was awarded, its moving the goalposts”</w:t>
      </w:r>
    </w:p>
    <w:p w14:paraId="3B30FD11" w14:textId="77777777" w:rsidR="00145EB5" w:rsidRPr="00501E8B" w:rsidRDefault="00145EB5" w:rsidP="00501E8B">
      <w:pPr>
        <w:ind w:left="284"/>
        <w:rPr>
          <w:i/>
          <w:iCs/>
        </w:rPr>
      </w:pPr>
    </w:p>
    <w:p w14:paraId="236FC278" w14:textId="1F7BA139" w:rsidR="00145EB5" w:rsidRDefault="00145EB5" w:rsidP="00B61DC5">
      <w:pPr>
        <w:spacing w:after="120"/>
      </w:pPr>
      <w:r>
        <w:t xml:space="preserve">One respondent </w:t>
      </w:r>
      <w:r w:rsidR="00397EC0">
        <w:t>compared the current situation</w:t>
      </w:r>
      <w:r>
        <w:t xml:space="preserve"> with pandemic </w:t>
      </w:r>
      <w:r w:rsidR="0080198A">
        <w:t>experiences:</w:t>
      </w:r>
    </w:p>
    <w:p w14:paraId="1CB3648A" w14:textId="3FC04890" w:rsidR="00145EB5" w:rsidRDefault="0080198A" w:rsidP="0080198A">
      <w:pPr>
        <w:ind w:left="284"/>
        <w:rPr>
          <w:i/>
          <w:iCs/>
        </w:rPr>
      </w:pPr>
      <w:r w:rsidRPr="0080198A">
        <w:rPr>
          <w:i/>
          <w:iCs/>
        </w:rPr>
        <w:t>“</w:t>
      </w:r>
      <w:r w:rsidR="00145EB5" w:rsidRPr="0080198A">
        <w:rPr>
          <w:i/>
          <w:iCs/>
        </w:rPr>
        <w:t xml:space="preserve">we have one funder who gave £6,000 but we have to do quarterly reports on activities delivered. </w:t>
      </w:r>
      <w:r w:rsidRPr="0080198A">
        <w:rPr>
          <w:i/>
          <w:iCs/>
        </w:rPr>
        <w:t>…</w:t>
      </w:r>
      <w:r w:rsidR="00145EB5" w:rsidRPr="0080198A">
        <w:rPr>
          <w:i/>
          <w:iCs/>
        </w:rPr>
        <w:t xml:space="preserve"> I think everything has reverted to </w:t>
      </w:r>
      <w:r w:rsidR="00145EB5" w:rsidRPr="00B61DC5">
        <w:rPr>
          <w:b/>
          <w:bCs/>
          <w:i/>
          <w:iCs/>
        </w:rPr>
        <w:t>pre pandemic behaviours but with bells on</w:t>
      </w:r>
      <w:r w:rsidR="00145EB5" w:rsidRPr="0080198A">
        <w:rPr>
          <w:i/>
          <w:iCs/>
        </w:rPr>
        <w:t>, it is actually worse now even though the 3rd sector proved its worth with no arguments through the pandemic experience.</w:t>
      </w:r>
      <w:r w:rsidRPr="0080198A">
        <w:rPr>
          <w:i/>
          <w:iCs/>
        </w:rPr>
        <w:t>”</w:t>
      </w:r>
    </w:p>
    <w:p w14:paraId="57FA2D87" w14:textId="77777777" w:rsidR="00003602" w:rsidRDefault="00003602" w:rsidP="00003602"/>
    <w:p w14:paraId="6DC10409" w14:textId="77777777" w:rsidR="00C70555" w:rsidRPr="00C70555" w:rsidRDefault="00C70555" w:rsidP="00003602"/>
    <w:p w14:paraId="41B324F1" w14:textId="39480E3E" w:rsidR="00B071AE" w:rsidRDefault="003E6A64" w:rsidP="00B071AE">
      <w:pPr>
        <w:spacing w:after="120"/>
        <w:rPr>
          <w:b/>
          <w:bCs/>
        </w:rPr>
      </w:pPr>
      <w:r>
        <w:rPr>
          <w:b/>
          <w:bCs/>
        </w:rPr>
        <w:t>Financial reporting</w:t>
      </w:r>
    </w:p>
    <w:p w14:paraId="650ADD92" w14:textId="7F3E2655" w:rsidR="00D9674B" w:rsidRDefault="00B071AE" w:rsidP="00003602">
      <w:pPr>
        <w:spacing w:after="120"/>
      </w:pPr>
      <w:r w:rsidRPr="00D9674B">
        <w:t>10 (</w:t>
      </w:r>
      <w:r w:rsidR="00D9674B" w:rsidRPr="00D9674B">
        <w:t>10%) of respondents</w:t>
      </w:r>
      <w:r w:rsidR="00D9674B">
        <w:t xml:space="preserve"> </w:t>
      </w:r>
      <w:r w:rsidR="0023328F">
        <w:t>mentioned</w:t>
      </w:r>
      <w:r w:rsidR="00D9674B">
        <w:t xml:space="preserve"> </w:t>
      </w:r>
      <w:r w:rsidR="003E6A64">
        <w:t>more financial s</w:t>
      </w:r>
      <w:r w:rsidR="0025172F">
        <w:t>c</w:t>
      </w:r>
      <w:r w:rsidR="003E6A64">
        <w:t>rutiny</w:t>
      </w:r>
      <w:r w:rsidR="00D9674B">
        <w:t>.  For example:</w:t>
      </w:r>
    </w:p>
    <w:p w14:paraId="3D30F96D" w14:textId="3551390A" w:rsidR="00D16966" w:rsidRPr="00D16966" w:rsidRDefault="00D16966" w:rsidP="00D16966">
      <w:pPr>
        <w:spacing w:after="120"/>
        <w:ind w:left="284"/>
        <w:rPr>
          <w:i/>
          <w:iCs/>
        </w:rPr>
      </w:pPr>
      <w:r w:rsidRPr="00D16966">
        <w:rPr>
          <w:i/>
          <w:iCs/>
        </w:rPr>
        <w:t>“</w:t>
      </w:r>
      <w:r w:rsidR="00631646" w:rsidRPr="00D16966">
        <w:rPr>
          <w:i/>
          <w:iCs/>
        </w:rPr>
        <w:t>More checks on how money is being use</w:t>
      </w:r>
      <w:r w:rsidRPr="00D16966">
        <w:rPr>
          <w:i/>
          <w:iCs/>
        </w:rPr>
        <w:t>d”</w:t>
      </w:r>
    </w:p>
    <w:p w14:paraId="66DCDA64" w14:textId="77617A6E" w:rsidR="00B071AE" w:rsidRDefault="00D16966" w:rsidP="0025172F">
      <w:pPr>
        <w:ind w:left="284"/>
        <w:rPr>
          <w:i/>
          <w:iCs/>
        </w:rPr>
      </w:pPr>
      <w:r w:rsidRPr="00D16966">
        <w:rPr>
          <w:i/>
          <w:iCs/>
        </w:rPr>
        <w:t xml:space="preserve">“Over the past few months, there has been a noticeable increase in the requirements related to financial accountability and cost management. This </w:t>
      </w:r>
      <w:r w:rsidRPr="00D16966">
        <w:rPr>
          <w:i/>
          <w:iCs/>
        </w:rPr>
        <w:lastRenderedPageBreak/>
        <w:t xml:space="preserve">includes providing detailed reports on how funds are allocated, with a stronger emphasis on efficient use of resources.” </w:t>
      </w:r>
    </w:p>
    <w:p w14:paraId="1D584679" w14:textId="77777777" w:rsidR="0025172F" w:rsidRDefault="0025172F" w:rsidP="0025172F">
      <w:pPr>
        <w:spacing w:after="120"/>
      </w:pPr>
    </w:p>
    <w:p w14:paraId="09B2C249" w14:textId="64E4D747" w:rsidR="0025172F" w:rsidRDefault="0025172F" w:rsidP="0025172F">
      <w:pPr>
        <w:spacing w:after="120"/>
      </w:pPr>
      <w:r>
        <w:t>3 further respondent</w:t>
      </w:r>
      <w:r w:rsidR="00397EC0">
        <w:t>s</w:t>
      </w:r>
      <w:r>
        <w:t xml:space="preserve"> said that there had been a move to </w:t>
      </w:r>
      <w:r w:rsidRPr="0025172F">
        <w:rPr>
          <w:b/>
          <w:bCs/>
        </w:rPr>
        <w:t>payment in arrears</w:t>
      </w:r>
      <w:r>
        <w:t xml:space="preserve"> with consequential challenges for cash flow.</w:t>
      </w:r>
    </w:p>
    <w:p w14:paraId="4CCB6C10" w14:textId="77777777" w:rsidR="0025172F" w:rsidRPr="0025172F" w:rsidRDefault="0025172F" w:rsidP="0025172F">
      <w:pPr>
        <w:spacing w:after="120"/>
      </w:pPr>
    </w:p>
    <w:p w14:paraId="0D87F4D5" w14:textId="093C3C2A" w:rsidR="00003602" w:rsidRDefault="00003602" w:rsidP="00003602">
      <w:pPr>
        <w:spacing w:after="120"/>
        <w:rPr>
          <w:b/>
          <w:bCs/>
        </w:rPr>
      </w:pPr>
      <w:r w:rsidRPr="00003602">
        <w:rPr>
          <w:b/>
          <w:bCs/>
        </w:rPr>
        <w:t>Challenging terms and conditions</w:t>
      </w:r>
    </w:p>
    <w:p w14:paraId="48BE7297" w14:textId="4BEB3BB0" w:rsidR="00003602" w:rsidRDefault="002326CF" w:rsidP="00003602">
      <w:r>
        <w:t xml:space="preserve">13 (12%) responses mentioned more challenging terms and conditions </w:t>
      </w:r>
      <w:r w:rsidR="00267DDA">
        <w:t>in relation to internal policies and procedure</w:t>
      </w:r>
      <w:r w:rsidR="00A900C7">
        <w:t xml:space="preserve">s.  The most common </w:t>
      </w:r>
      <w:r w:rsidR="003D29AD">
        <w:t xml:space="preserve">example is respondents having to evidence </w:t>
      </w:r>
      <w:r w:rsidR="0023328F">
        <w:t xml:space="preserve">that </w:t>
      </w:r>
      <w:r w:rsidR="003D29AD">
        <w:t xml:space="preserve">they are </w:t>
      </w:r>
      <w:r w:rsidR="0023328F">
        <w:t>adhering to</w:t>
      </w:r>
      <w:r w:rsidR="003D29AD">
        <w:t xml:space="preserve"> </w:t>
      </w:r>
      <w:r>
        <w:t xml:space="preserve">Fair </w:t>
      </w:r>
      <w:r w:rsidR="00D05C95">
        <w:t>Work</w:t>
      </w:r>
      <w:r w:rsidR="003D29AD">
        <w:t xml:space="preserve">, sometimes at the same time as funding conditions </w:t>
      </w:r>
      <w:r w:rsidR="00733044">
        <w:t>make</w:t>
      </w:r>
      <w:r w:rsidR="003D29AD">
        <w:t xml:space="preserve"> </w:t>
      </w:r>
      <w:r w:rsidR="0023328F">
        <w:t>doing so</w:t>
      </w:r>
      <w:r w:rsidR="003D29AD">
        <w:t xml:space="preserve"> even harder</w:t>
      </w:r>
      <w:r w:rsidR="00733044">
        <w:t>.</w:t>
      </w:r>
    </w:p>
    <w:p w14:paraId="677D5F17" w14:textId="77777777" w:rsidR="00A900C7" w:rsidRDefault="00A900C7" w:rsidP="00003602"/>
    <w:p w14:paraId="538DAAB1" w14:textId="77777777" w:rsidR="00A900C7" w:rsidRPr="00003602" w:rsidRDefault="00A900C7" w:rsidP="00A900C7">
      <w:pPr>
        <w:spacing w:after="120"/>
        <w:rPr>
          <w:u w:val="single"/>
        </w:rPr>
      </w:pPr>
      <w:r w:rsidRPr="00003602">
        <w:rPr>
          <w:u w:val="single"/>
        </w:rPr>
        <w:t>Illustrative quotes (my bolding):</w:t>
      </w:r>
    </w:p>
    <w:p w14:paraId="0EF7B378" w14:textId="03CAF121" w:rsidR="00D00E21" w:rsidRDefault="00A900C7" w:rsidP="00C70555">
      <w:pPr>
        <w:spacing w:after="120"/>
        <w:ind w:left="284"/>
        <w:rPr>
          <w:i/>
          <w:iCs/>
        </w:rPr>
      </w:pPr>
      <w:r w:rsidRPr="003D29AD">
        <w:rPr>
          <w:i/>
          <w:iCs/>
        </w:rPr>
        <w:t xml:space="preserve">“The </w:t>
      </w:r>
      <w:r w:rsidRPr="003D29AD">
        <w:rPr>
          <w:b/>
          <w:bCs/>
          <w:i/>
          <w:iCs/>
        </w:rPr>
        <w:t>Fair Work</w:t>
      </w:r>
      <w:r w:rsidRPr="003D29AD">
        <w:rPr>
          <w:i/>
          <w:iCs/>
        </w:rPr>
        <w:t xml:space="preserve"> conditions introduced by one of our SG funding sponsors have meant </w:t>
      </w:r>
      <w:r w:rsidRPr="003D29AD">
        <w:rPr>
          <w:b/>
          <w:bCs/>
          <w:i/>
          <w:iCs/>
        </w:rPr>
        <w:t>extra work</w:t>
      </w:r>
      <w:r w:rsidRPr="003D29AD">
        <w:rPr>
          <w:i/>
          <w:iCs/>
        </w:rPr>
        <w:t xml:space="preserve"> - e.g. having to nominate a staff rep for a team of 5 staff and having to sign up to conditions that say </w:t>
      </w:r>
      <w:r w:rsidRPr="003D29AD">
        <w:rPr>
          <w:b/>
          <w:bCs/>
          <w:i/>
          <w:iCs/>
        </w:rPr>
        <w:t>our funding cannot be used to meet any employer obligations such as sick pay</w:t>
      </w:r>
      <w:r w:rsidRPr="003D29AD">
        <w:rPr>
          <w:i/>
          <w:iCs/>
        </w:rPr>
        <w:t>.</w:t>
      </w:r>
      <w:r w:rsidR="003D29AD" w:rsidRPr="003D29AD">
        <w:rPr>
          <w:i/>
          <w:iCs/>
        </w:rPr>
        <w:t>”</w:t>
      </w:r>
    </w:p>
    <w:p w14:paraId="4D717618" w14:textId="4449980B" w:rsidR="00135C91" w:rsidRDefault="00D00E21" w:rsidP="008C445D">
      <w:pPr>
        <w:spacing w:after="120"/>
        <w:ind w:left="284"/>
        <w:rPr>
          <w:i/>
          <w:iCs/>
        </w:rPr>
      </w:pPr>
      <w:r>
        <w:rPr>
          <w:i/>
          <w:iCs/>
        </w:rPr>
        <w:t>“</w:t>
      </w:r>
      <w:r w:rsidRPr="00D00E21">
        <w:rPr>
          <w:i/>
          <w:iCs/>
        </w:rPr>
        <w:t xml:space="preserve">the "evidence" Scottish Government required for us to "prove" our commitment to Fair Work was </w:t>
      </w:r>
      <w:r w:rsidRPr="00D00E21">
        <w:rPr>
          <w:b/>
          <w:bCs/>
          <w:i/>
          <w:iCs/>
        </w:rPr>
        <w:t>over burdensome, and felt meaningless</w:t>
      </w:r>
      <w:r w:rsidRPr="00D00E21">
        <w:rPr>
          <w:i/>
          <w:iCs/>
        </w:rPr>
        <w:t>.  Also, despite the living wage increasing, funding is not provided for us to meet these increases, which means less staff and less services</w:t>
      </w:r>
      <w:r w:rsidR="008036C2">
        <w:rPr>
          <w:i/>
          <w:iCs/>
        </w:rPr>
        <w:t>.</w:t>
      </w:r>
      <w:r>
        <w:rPr>
          <w:i/>
          <w:iCs/>
        </w:rPr>
        <w:t>”</w:t>
      </w:r>
    </w:p>
    <w:p w14:paraId="45479EDB" w14:textId="6F0A1E01" w:rsidR="008C445D" w:rsidRDefault="008C445D" w:rsidP="008C445D">
      <w:pPr>
        <w:spacing w:after="120"/>
        <w:ind w:left="284"/>
        <w:rPr>
          <w:i/>
          <w:iCs/>
        </w:rPr>
      </w:pPr>
      <w:r>
        <w:rPr>
          <w:i/>
          <w:iCs/>
        </w:rPr>
        <w:t>“</w:t>
      </w:r>
      <w:r w:rsidRPr="008C445D">
        <w:rPr>
          <w:i/>
          <w:iCs/>
        </w:rPr>
        <w:t>In the grant, they are now saying, they will not cover staff absence, maternity leave or holidays.</w:t>
      </w:r>
      <w:r>
        <w:rPr>
          <w:i/>
          <w:iCs/>
        </w:rPr>
        <w:t>”</w:t>
      </w:r>
    </w:p>
    <w:p w14:paraId="4981007E" w14:textId="24AA5749" w:rsidR="004B246B" w:rsidRDefault="004B246B" w:rsidP="00C70555">
      <w:pPr>
        <w:ind w:left="284"/>
        <w:rPr>
          <w:i/>
          <w:iCs/>
        </w:rPr>
      </w:pPr>
      <w:r>
        <w:rPr>
          <w:i/>
          <w:iCs/>
        </w:rPr>
        <w:t>“</w:t>
      </w:r>
      <w:r w:rsidRPr="004B246B">
        <w:rPr>
          <w:i/>
          <w:iCs/>
        </w:rPr>
        <w:t xml:space="preserve">requirement to further evidence </w:t>
      </w:r>
      <w:r>
        <w:rPr>
          <w:i/>
          <w:iCs/>
        </w:rPr>
        <w:t>…</w:t>
      </w:r>
      <w:r w:rsidRPr="004B246B">
        <w:rPr>
          <w:i/>
          <w:iCs/>
        </w:rPr>
        <w:t xml:space="preserve"> </w:t>
      </w:r>
      <w:r w:rsidRPr="004B246B">
        <w:rPr>
          <w:b/>
          <w:bCs/>
          <w:i/>
          <w:iCs/>
        </w:rPr>
        <w:t>GDPR and data sharing requirements</w:t>
      </w:r>
      <w:r>
        <w:rPr>
          <w:i/>
          <w:iCs/>
        </w:rPr>
        <w:t>”</w:t>
      </w:r>
    </w:p>
    <w:p w14:paraId="6EFB390D" w14:textId="77777777" w:rsidR="008036C2" w:rsidRDefault="008036C2" w:rsidP="00C70555">
      <w:pPr>
        <w:ind w:left="284"/>
        <w:rPr>
          <w:i/>
          <w:iCs/>
        </w:rPr>
      </w:pPr>
    </w:p>
    <w:p w14:paraId="62C490F6" w14:textId="77777777" w:rsidR="00C70555" w:rsidRDefault="00C70555" w:rsidP="00C70555">
      <w:pPr>
        <w:rPr>
          <w:b/>
          <w:bCs/>
        </w:rPr>
      </w:pPr>
    </w:p>
    <w:p w14:paraId="3C67DD43" w14:textId="011D7956" w:rsidR="00B071AE" w:rsidRDefault="00C70555" w:rsidP="00C70555">
      <w:pPr>
        <w:spacing w:after="120"/>
        <w:rPr>
          <w:b/>
          <w:bCs/>
        </w:rPr>
      </w:pPr>
      <w:r>
        <w:rPr>
          <w:b/>
          <w:bCs/>
        </w:rPr>
        <w:t>Challenges in communication</w:t>
      </w:r>
    </w:p>
    <w:p w14:paraId="76D55B0F" w14:textId="37D22D6B" w:rsidR="00C70555" w:rsidRDefault="00C70555" w:rsidP="00C70555">
      <w:pPr>
        <w:spacing w:after="120"/>
      </w:pPr>
      <w:r>
        <w:t>The final categories relate to more burdensome or challenging communication with grant managers</w:t>
      </w:r>
      <w:r w:rsidR="009C05DB">
        <w:t xml:space="preserve"> (4 respondents) and late notification (</w:t>
      </w:r>
      <w:r w:rsidR="00952129">
        <w:t>7</w:t>
      </w:r>
      <w:r w:rsidR="009C05DB">
        <w:t xml:space="preserve"> respondents).</w:t>
      </w:r>
    </w:p>
    <w:p w14:paraId="0CC1F09A" w14:textId="09CBB80B" w:rsidR="009C05DB" w:rsidRDefault="009C05DB" w:rsidP="00C70555">
      <w:pPr>
        <w:spacing w:after="120"/>
        <w:rPr>
          <w:u w:val="single"/>
        </w:rPr>
      </w:pPr>
      <w:r w:rsidRPr="009C05DB">
        <w:rPr>
          <w:u w:val="single"/>
        </w:rPr>
        <w:t xml:space="preserve">Illustrative quotes </w:t>
      </w:r>
    </w:p>
    <w:p w14:paraId="63243CA0" w14:textId="58DC8BFB" w:rsidR="00936979" w:rsidRDefault="00936979" w:rsidP="0016258B">
      <w:pPr>
        <w:spacing w:after="120"/>
        <w:ind w:left="284"/>
        <w:rPr>
          <w:i/>
          <w:iCs/>
        </w:rPr>
      </w:pPr>
      <w:r>
        <w:rPr>
          <w:i/>
          <w:iCs/>
        </w:rPr>
        <w:t>“</w:t>
      </w:r>
      <w:r w:rsidRPr="00936979">
        <w:rPr>
          <w:i/>
          <w:iCs/>
        </w:rPr>
        <w:t>Monitoring requirements frequently change or are inappropriate for the services we are funded to deliver, and requests can come with very short notice.</w:t>
      </w:r>
      <w:r>
        <w:rPr>
          <w:i/>
          <w:iCs/>
        </w:rPr>
        <w:t>”</w:t>
      </w:r>
      <w:r w:rsidRPr="00936979">
        <w:rPr>
          <w:i/>
          <w:iCs/>
        </w:rPr>
        <w:t xml:space="preserve"> </w:t>
      </w:r>
    </w:p>
    <w:p w14:paraId="0D6CC55F" w14:textId="65720B31" w:rsidR="009C05DB" w:rsidRDefault="0016258B" w:rsidP="0016258B">
      <w:pPr>
        <w:spacing w:after="120"/>
        <w:ind w:left="284"/>
        <w:rPr>
          <w:i/>
          <w:iCs/>
        </w:rPr>
      </w:pPr>
      <w:r w:rsidRPr="0016258B">
        <w:rPr>
          <w:i/>
          <w:iCs/>
        </w:rPr>
        <w:t>“it would be good to know what they actually do with this [our reports] as it's so important for us to be able to learn the strength of such”</w:t>
      </w:r>
    </w:p>
    <w:p w14:paraId="1DCD1844" w14:textId="77777777" w:rsidR="003C7FAF" w:rsidRDefault="00BE0C20" w:rsidP="003C7FAF">
      <w:pPr>
        <w:spacing w:after="120"/>
        <w:ind w:left="284"/>
        <w:rPr>
          <w:i/>
          <w:iCs/>
        </w:rPr>
      </w:pPr>
      <w:r>
        <w:rPr>
          <w:i/>
          <w:iCs/>
        </w:rPr>
        <w:t>“</w:t>
      </w:r>
      <w:r w:rsidRPr="00BE0C20">
        <w:rPr>
          <w:i/>
          <w:iCs/>
        </w:rPr>
        <w:t>We continually get passed to different organisations to administer our funding which requires huge changes in reporting styles and outcomes we have to meet.</w:t>
      </w:r>
      <w:r>
        <w:rPr>
          <w:i/>
          <w:iCs/>
        </w:rPr>
        <w:t>”</w:t>
      </w:r>
    </w:p>
    <w:p w14:paraId="235AD925" w14:textId="77777777" w:rsidR="00733044" w:rsidRDefault="003C7FAF" w:rsidP="00733044">
      <w:pPr>
        <w:spacing w:after="120"/>
        <w:ind w:left="284"/>
        <w:rPr>
          <w:i/>
          <w:iCs/>
        </w:rPr>
      </w:pPr>
      <w:r>
        <w:rPr>
          <w:i/>
          <w:iCs/>
        </w:rPr>
        <w:t>“</w:t>
      </w:r>
      <w:r w:rsidRPr="003C7FAF">
        <w:rPr>
          <w:i/>
          <w:iCs/>
        </w:rPr>
        <w:t>Late decisions on grant making have condensed the time to deliver the outcomes - this leads to issues on recruitment e.g. short term posts etc.</w:t>
      </w:r>
      <w:r>
        <w:rPr>
          <w:i/>
          <w:iCs/>
        </w:rPr>
        <w:t>”</w:t>
      </w:r>
    </w:p>
    <w:p w14:paraId="31AD377D" w14:textId="20A148DC" w:rsidR="000A1925" w:rsidRDefault="00733044" w:rsidP="00EE1EBD">
      <w:pPr>
        <w:spacing w:after="120"/>
        <w:ind w:left="284"/>
        <w:rPr>
          <w:i/>
          <w:iCs/>
        </w:rPr>
      </w:pPr>
      <w:r>
        <w:rPr>
          <w:i/>
          <w:iCs/>
        </w:rPr>
        <w:t>“</w:t>
      </w:r>
      <w:r w:rsidRPr="00733044">
        <w:rPr>
          <w:i/>
          <w:iCs/>
        </w:rPr>
        <w:t xml:space="preserve">We're being asked to increase our own capacity </w:t>
      </w:r>
      <w:r>
        <w:rPr>
          <w:i/>
          <w:iCs/>
        </w:rPr>
        <w:t>…</w:t>
      </w:r>
      <w:r w:rsidRPr="00733044">
        <w:rPr>
          <w:i/>
          <w:iCs/>
        </w:rPr>
        <w:t xml:space="preserve"> without surety of increased levels of funding. Actions should happen now but we won't know if funds have indeed increased until February (or March as it was last year). We would also benefit greatly from multiyear funding</w:t>
      </w:r>
      <w:r>
        <w:rPr>
          <w:i/>
          <w:iCs/>
        </w:rPr>
        <w:t>.”</w:t>
      </w:r>
    </w:p>
    <w:p w14:paraId="56766E24" w14:textId="414366ED" w:rsidR="000A1925" w:rsidRPr="005B24EC" w:rsidRDefault="000A1925" w:rsidP="000A1925">
      <w:pPr>
        <w:spacing w:after="120"/>
        <w:rPr>
          <w:b/>
          <w:bCs/>
        </w:rPr>
      </w:pPr>
      <w:r>
        <w:rPr>
          <w:b/>
          <w:bCs/>
        </w:rPr>
        <w:lastRenderedPageBreak/>
        <w:t>Annex:  r</w:t>
      </w:r>
      <w:r w:rsidRPr="005B24EC">
        <w:rPr>
          <w:b/>
          <w:bCs/>
        </w:rPr>
        <w:t>esponses that were excluded</w:t>
      </w:r>
      <w:r>
        <w:rPr>
          <w:b/>
          <w:bCs/>
        </w:rPr>
        <w:t xml:space="preserve"> (reducing 152 to 105)</w:t>
      </w:r>
    </w:p>
    <w:p w14:paraId="186C4854" w14:textId="18E0C478" w:rsidR="000A1925" w:rsidRDefault="000A1925" w:rsidP="000A1925">
      <w:pPr>
        <w:pStyle w:val="ListParagraph"/>
        <w:numPr>
          <w:ilvl w:val="0"/>
          <w:numId w:val="25"/>
        </w:numPr>
        <w:spacing w:after="120"/>
        <w:contextualSpacing w:val="0"/>
      </w:pPr>
      <w:r>
        <w:t xml:space="preserve">9 responses that were </w:t>
      </w:r>
      <w:r w:rsidRPr="006D2DD7">
        <w:rPr>
          <w:b/>
          <w:bCs/>
        </w:rPr>
        <w:t>not about funding</w:t>
      </w:r>
      <w:r>
        <w:t xml:space="preserve"> (</w:t>
      </w:r>
      <w:r w:rsidR="006D2DD7">
        <w:t>for example,</w:t>
      </w:r>
      <w:r>
        <w:t xml:space="preserve"> increased pressure on service delivery, governance challenges)</w:t>
      </w:r>
    </w:p>
    <w:p w14:paraId="0D1F6B8D" w14:textId="77777777" w:rsidR="000A1925" w:rsidRDefault="000A1925" w:rsidP="000A1925">
      <w:pPr>
        <w:pStyle w:val="ListParagraph"/>
        <w:numPr>
          <w:ilvl w:val="0"/>
          <w:numId w:val="25"/>
        </w:numPr>
        <w:spacing w:after="120"/>
        <w:contextualSpacing w:val="0"/>
      </w:pPr>
      <w:r>
        <w:t xml:space="preserve">19 responses about increased </w:t>
      </w:r>
      <w:r w:rsidRPr="005B24EC">
        <w:rPr>
          <w:b/>
          <w:bCs/>
        </w:rPr>
        <w:t>burden in</w:t>
      </w:r>
      <w:r>
        <w:t xml:space="preserve"> </w:t>
      </w:r>
      <w:r w:rsidRPr="00B96DFC">
        <w:rPr>
          <w:b/>
          <w:bCs/>
          <w:u w:val="single"/>
        </w:rPr>
        <w:t>applying</w:t>
      </w:r>
      <w:r>
        <w:t xml:space="preserve"> for funding </w:t>
      </w:r>
    </w:p>
    <w:p w14:paraId="096DBA12" w14:textId="77777777" w:rsidR="000A1925" w:rsidRDefault="000A1925" w:rsidP="000A1925">
      <w:pPr>
        <w:pStyle w:val="ListParagraph"/>
        <w:numPr>
          <w:ilvl w:val="0"/>
          <w:numId w:val="25"/>
        </w:numPr>
        <w:spacing w:after="120"/>
        <w:contextualSpacing w:val="0"/>
      </w:pPr>
      <w:r>
        <w:t xml:space="preserve">4 responses about increased </w:t>
      </w:r>
      <w:r w:rsidRPr="005B24EC">
        <w:rPr>
          <w:b/>
          <w:bCs/>
        </w:rPr>
        <w:t xml:space="preserve">competition in </w:t>
      </w:r>
      <w:r w:rsidRPr="00B96DFC">
        <w:rPr>
          <w:b/>
          <w:bCs/>
          <w:u w:val="single"/>
        </w:rPr>
        <w:t>applying</w:t>
      </w:r>
      <w:r>
        <w:t xml:space="preserve"> for funding</w:t>
      </w:r>
    </w:p>
    <w:p w14:paraId="518800B5" w14:textId="77777777" w:rsidR="000A1925" w:rsidRDefault="000A1925" w:rsidP="000A1925">
      <w:pPr>
        <w:pStyle w:val="ListParagraph"/>
        <w:numPr>
          <w:ilvl w:val="0"/>
          <w:numId w:val="25"/>
        </w:numPr>
      </w:pPr>
      <w:r>
        <w:t xml:space="preserve">15 responses about </w:t>
      </w:r>
      <w:r w:rsidRPr="00C476E5">
        <w:rPr>
          <w:b/>
          <w:bCs/>
        </w:rPr>
        <w:t>funding cuts</w:t>
      </w:r>
      <w:r>
        <w:t xml:space="preserve"> – such as funders that used to fund them no longer doing so </w:t>
      </w:r>
    </w:p>
    <w:p w14:paraId="6B643946" w14:textId="57EA9A3A" w:rsidR="00396E1C" w:rsidRDefault="00396E1C" w:rsidP="00396E1C">
      <w:pPr>
        <w:spacing w:after="120"/>
      </w:pPr>
      <w:r>
        <w:br/>
      </w:r>
      <w:r w:rsidR="009225A8">
        <w:t>W</w:t>
      </w:r>
      <w:r>
        <w:t xml:space="preserve">e can’t assume that the respondents’ conditions </w:t>
      </w:r>
      <w:r w:rsidR="00B96DFC">
        <w:t xml:space="preserve">for existing funding </w:t>
      </w:r>
      <w:r>
        <w:t xml:space="preserve">are </w:t>
      </w:r>
      <w:r w:rsidRPr="000E652C">
        <w:rPr>
          <w:b/>
          <w:bCs/>
        </w:rPr>
        <w:t>not</w:t>
      </w:r>
      <w:r>
        <w:t xml:space="preserve"> more demanding; it’s just that the text of th</w:t>
      </w:r>
      <w:r w:rsidR="000E652C">
        <w:t>eir response was not about such conditions.</w:t>
      </w:r>
    </w:p>
    <w:p w14:paraId="1D5C9FFD" w14:textId="77777777" w:rsidR="00045976" w:rsidRDefault="00045976" w:rsidP="00396E1C">
      <w:pPr>
        <w:spacing w:after="120"/>
      </w:pPr>
    </w:p>
    <w:p w14:paraId="4CB483BE" w14:textId="77777777" w:rsidR="00AA5EE7" w:rsidRDefault="007C588D" w:rsidP="00396E1C">
      <w:pPr>
        <w:spacing w:after="120"/>
      </w:pPr>
      <w:r>
        <w:br/>
      </w:r>
    </w:p>
    <w:p w14:paraId="58DC9D4A" w14:textId="77777777" w:rsidR="00AA5EE7" w:rsidRDefault="00AA5EE7" w:rsidP="00396E1C">
      <w:pPr>
        <w:spacing w:after="120"/>
      </w:pPr>
    </w:p>
    <w:p w14:paraId="6364ACAF" w14:textId="77F3BAC0" w:rsidR="00045976" w:rsidRPr="00AA5EE7" w:rsidRDefault="00045976" w:rsidP="00AA5EE7">
      <w:pPr>
        <w:rPr>
          <w:sz w:val="20"/>
          <w:szCs w:val="20"/>
        </w:rPr>
      </w:pPr>
      <w:r w:rsidRPr="00AA5EE7">
        <w:rPr>
          <w:sz w:val="20"/>
          <w:szCs w:val="20"/>
        </w:rPr>
        <w:t>Evaluation Support Scotland</w:t>
      </w:r>
    </w:p>
    <w:p w14:paraId="1323620F" w14:textId="1F708942" w:rsidR="007C588D" w:rsidRPr="00AA5EE7" w:rsidRDefault="007C588D" w:rsidP="00AA5EE7">
      <w:pPr>
        <w:rPr>
          <w:sz w:val="20"/>
          <w:szCs w:val="20"/>
        </w:rPr>
      </w:pPr>
      <w:hyperlink r:id="rId13" w:history="1">
        <w:r w:rsidRPr="00AA5EE7">
          <w:rPr>
            <w:rStyle w:val="Hyperlink"/>
            <w:sz w:val="20"/>
            <w:szCs w:val="20"/>
          </w:rPr>
          <w:t>www.evaluationsupportscotland.org.uk</w:t>
        </w:r>
      </w:hyperlink>
    </w:p>
    <w:p w14:paraId="7B467FE4" w14:textId="77777777" w:rsidR="00AA5EE7" w:rsidRDefault="00AA5EE7" w:rsidP="00AA5EE7">
      <w:pPr>
        <w:rPr>
          <w:sz w:val="20"/>
          <w:szCs w:val="20"/>
        </w:rPr>
      </w:pPr>
    </w:p>
    <w:p w14:paraId="4EFA6C1F" w14:textId="4D0606FA" w:rsidR="00D210A8" w:rsidRPr="00AA5EE7" w:rsidRDefault="00AA5EE7" w:rsidP="00AA5EE7">
      <w:pPr>
        <w:rPr>
          <w:sz w:val="20"/>
          <w:szCs w:val="20"/>
        </w:rPr>
      </w:pPr>
      <w:r w:rsidRPr="00AA5EE7">
        <w:rPr>
          <w:sz w:val="20"/>
          <w:szCs w:val="20"/>
        </w:rPr>
        <w:t xml:space="preserve">Registered Company SC284842     Scottish Charity SC036529     </w:t>
      </w:r>
    </w:p>
    <w:p w14:paraId="2CF767C4" w14:textId="3BC1124B" w:rsidR="00AA5EE7" w:rsidRPr="00AA5EE7" w:rsidRDefault="00AA5EE7" w:rsidP="00AA5EE7">
      <w:pPr>
        <w:rPr>
          <w:sz w:val="20"/>
          <w:szCs w:val="20"/>
        </w:rPr>
      </w:pPr>
      <w:r w:rsidRPr="00AA5EE7">
        <w:rPr>
          <w:sz w:val="20"/>
          <w:szCs w:val="20"/>
        </w:rPr>
        <w:t>5 Rose Street, Edinburgh EH4 5BZ</w:t>
      </w:r>
    </w:p>
    <w:p w14:paraId="6B1583E6" w14:textId="094B615B" w:rsidR="00AA5EE7" w:rsidRPr="00AA5EE7" w:rsidRDefault="00AA5EE7" w:rsidP="00AA5EE7">
      <w:pPr>
        <w:rPr>
          <w:sz w:val="20"/>
          <w:szCs w:val="20"/>
        </w:rPr>
      </w:pPr>
      <w:hyperlink r:id="rId14" w:history="1">
        <w:r w:rsidRPr="00AA5EE7">
          <w:rPr>
            <w:rStyle w:val="Hyperlink"/>
            <w:sz w:val="20"/>
            <w:szCs w:val="20"/>
          </w:rPr>
          <w:t>info@evaluationsupportscotland.org.uk</w:t>
        </w:r>
      </w:hyperlink>
      <w:r w:rsidRPr="00AA5EE7">
        <w:rPr>
          <w:sz w:val="20"/>
          <w:szCs w:val="20"/>
        </w:rPr>
        <w:t xml:space="preserve"> </w:t>
      </w:r>
    </w:p>
    <w:p w14:paraId="0227C00B" w14:textId="0BE097A8" w:rsidR="00D210A8" w:rsidRPr="00AA5EE7" w:rsidRDefault="00D210A8" w:rsidP="00AA5EE7">
      <w:pPr>
        <w:rPr>
          <w:sz w:val="20"/>
          <w:szCs w:val="20"/>
        </w:rPr>
      </w:pPr>
    </w:p>
    <w:sectPr w:rsidR="00D210A8" w:rsidRPr="00AA5EE7" w:rsidSect="00B22DA5">
      <w:headerReference w:type="even" r:id="rId15"/>
      <w:headerReference w:type="default" r:id="rId16"/>
      <w:footerReference w:type="even" r:id="rId17"/>
      <w:footerReference w:type="default" r:id="rId18"/>
      <w:headerReference w:type="first" r:id="rId19"/>
      <w:footerReference w:type="first" r:id="rId20"/>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5A813E" w14:textId="77777777" w:rsidR="00B22DA5" w:rsidRDefault="00B22DA5">
      <w:r>
        <w:separator/>
      </w:r>
    </w:p>
  </w:endnote>
  <w:endnote w:type="continuationSeparator" w:id="0">
    <w:p w14:paraId="3E125DB5" w14:textId="77777777" w:rsidR="00B22DA5" w:rsidRDefault="00B2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0912A0" w14:textId="77777777" w:rsidR="006608B1" w:rsidRDefault="00660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677D3D" w14:textId="77777777" w:rsidR="00D461E9" w:rsidRDefault="00D461E9" w:rsidP="00D461E9">
    <w:pPr>
      <w:pStyle w:val="Footer"/>
      <w:jc w:val="center"/>
    </w:pPr>
    <w:r>
      <w:fldChar w:fldCharType="begin"/>
    </w:r>
    <w:r>
      <w:instrText xml:space="preserve"> PAGE   \* MERGEFORMAT </w:instrText>
    </w:r>
    <w:r>
      <w:fldChar w:fldCharType="separate"/>
    </w:r>
    <w:r w:rsidR="006608B1">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1AB0D5" w14:textId="77777777" w:rsidR="006608B1" w:rsidRDefault="00660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DEDCAE" w14:textId="77777777" w:rsidR="00B22DA5" w:rsidRDefault="00B22DA5">
      <w:r>
        <w:separator/>
      </w:r>
    </w:p>
  </w:footnote>
  <w:footnote w:type="continuationSeparator" w:id="0">
    <w:p w14:paraId="47EA435A" w14:textId="77777777" w:rsidR="00B22DA5" w:rsidRDefault="00B22DA5">
      <w:r>
        <w:continuationSeparator/>
      </w:r>
    </w:p>
  </w:footnote>
  <w:footnote w:id="1">
    <w:p w14:paraId="71CD097F" w14:textId="13E84933" w:rsidR="00704772" w:rsidRPr="00704772" w:rsidRDefault="00704772" w:rsidP="00704772">
      <w:pPr>
        <w:rPr>
          <w:sz w:val="20"/>
          <w:szCs w:val="20"/>
        </w:rPr>
      </w:pPr>
      <w:r w:rsidRPr="00704772">
        <w:rPr>
          <w:rStyle w:val="FootnoteReference"/>
          <w:sz w:val="20"/>
          <w:szCs w:val="20"/>
        </w:rPr>
        <w:footnoteRef/>
      </w:r>
      <w:r w:rsidRPr="00704772">
        <w:rPr>
          <w:sz w:val="20"/>
          <w:szCs w:val="20"/>
        </w:rPr>
        <w:t xml:space="preserve"> </w:t>
      </w:r>
      <w:r w:rsidRPr="00704772">
        <w:rPr>
          <w:sz w:val="20"/>
          <w:szCs w:val="20"/>
        </w:rPr>
        <w:t xml:space="preserve">The </w:t>
      </w:r>
      <w:r>
        <w:rPr>
          <w:sz w:val="20"/>
          <w:szCs w:val="20"/>
        </w:rPr>
        <w:t xml:space="preserve">Tracker </w:t>
      </w:r>
      <w:r w:rsidRPr="00704772">
        <w:rPr>
          <w:sz w:val="20"/>
          <w:szCs w:val="20"/>
        </w:rPr>
        <w:t>is run by SCVO</w:t>
      </w:r>
      <w:r>
        <w:rPr>
          <w:sz w:val="20"/>
          <w:szCs w:val="20"/>
        </w:rPr>
        <w:t xml:space="preserve"> with funding from </w:t>
      </w:r>
      <w:r w:rsidRPr="00704772">
        <w:rPr>
          <w:sz w:val="20"/>
          <w:szCs w:val="20"/>
        </w:rPr>
        <w:t>Scottish Government, William Grant Foundation and The National Lottery Community Fund.</w:t>
      </w:r>
      <w:r>
        <w:rPr>
          <w:sz w:val="20"/>
          <w:szCs w:val="20"/>
        </w:rPr>
        <w:t xml:space="preserve"> </w:t>
      </w:r>
      <w:hyperlink r:id="rId1" w:history="1">
        <w:r>
          <w:rPr>
            <w:rStyle w:val="Hyperlink"/>
            <w:sz w:val="20"/>
            <w:szCs w:val="20"/>
          </w:rPr>
          <w:t>Please c</w:t>
        </w:r>
        <w:r w:rsidRPr="00704772">
          <w:rPr>
            <w:rStyle w:val="Hyperlink"/>
            <w:sz w:val="20"/>
            <w:szCs w:val="20"/>
          </w:rPr>
          <w:t>lick here for more</w:t>
        </w:r>
      </w:hyperlink>
      <w:r>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45E0EB" w14:textId="77777777" w:rsidR="006608B1" w:rsidRDefault="006608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0D8890" w14:textId="59B317E8" w:rsidR="003716F7" w:rsidRPr="003716F7" w:rsidRDefault="00365236" w:rsidP="003716F7">
    <w:pPr>
      <w:rPr>
        <w:b/>
        <w:sz w:val="28"/>
        <w:szCs w:val="28"/>
      </w:rPr>
    </w:pPr>
    <w:r w:rsidRPr="003716F7">
      <w:rPr>
        <w:noProof/>
        <w:sz w:val="28"/>
        <w:szCs w:val="28"/>
      </w:rPr>
      <mc:AlternateContent>
        <mc:Choice Requires="wps">
          <w:drawing>
            <wp:anchor distT="0" distB="0" distL="114300" distR="114300" simplePos="0" relativeHeight="251657728" behindDoc="0" locked="0" layoutInCell="1" allowOverlap="1" wp14:anchorId="3C4D58F2" wp14:editId="40640F7D">
              <wp:simplePos x="0" y="0"/>
              <wp:positionH relativeFrom="column">
                <wp:posOffset>4540250</wp:posOffset>
              </wp:positionH>
              <wp:positionV relativeFrom="paragraph">
                <wp:posOffset>-212725</wp:posOffset>
              </wp:positionV>
              <wp:extent cx="1698625" cy="678180"/>
              <wp:effectExtent l="0" t="0" r="0" b="0"/>
              <wp:wrapSquare wrapText="bothSides"/>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625" cy="678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A0E8E" w14:textId="592637B3" w:rsidR="00AB2853" w:rsidRPr="009434D7" w:rsidRDefault="00365236" w:rsidP="009337AD">
                          <w:pPr>
                            <w:pStyle w:val="Header"/>
                            <w:rPr>
                              <w:b/>
                              <w:color w:val="3366CC"/>
                              <w:sz w:val="26"/>
                              <w:szCs w:val="26"/>
                            </w:rPr>
                          </w:pPr>
                          <w:r w:rsidRPr="004E0354">
                            <w:rPr>
                              <w:b/>
                              <w:noProof/>
                              <w:color w:val="3366CC"/>
                              <w:sz w:val="26"/>
                              <w:szCs w:val="26"/>
                            </w:rPr>
                            <w:drawing>
                              <wp:inline distT="0" distB="0" distL="0" distR="0" wp14:anchorId="29295E25" wp14:editId="751F9F11">
                                <wp:extent cx="1516380" cy="586740"/>
                                <wp:effectExtent l="0" t="0" r="0" b="0"/>
                                <wp:docPr id="2" name="Picture 1" descr="NEW_ES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ES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867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4D58F2" id="_x0000_t202" coordsize="21600,21600" o:spt="202" path="m,l,21600r21600,l21600,xe">
              <v:stroke joinstyle="miter"/>
              <v:path gradientshapeok="t" o:connecttype="rect"/>
            </v:shapetype>
            <v:shape id="Text Box 11" o:spid="_x0000_s1026" type="#_x0000_t202" style="position:absolute;margin-left:357.5pt;margin-top:-16.75pt;width:133.75pt;height:53.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" stroked="f">
              <v:textbox style="mso-fit-shape-to-text:t">
                <w:txbxContent>
                  <w:p w14:paraId="7E5A0E8E" w14:textId="592637B3" w:rsidR="00AB2853" w:rsidRPr="009434D7" w:rsidRDefault="00365236" w:rsidP="009337AD">
                    <w:pPr>
                      <w:pStyle w:val="Header"/>
                      <w:rPr>
                        <w:b/>
                        <w:color w:val="3366CC"/>
                        <w:sz w:val="26"/>
                        <w:szCs w:val="26"/>
                      </w:rPr>
                    </w:pPr>
                    <w:r w:rsidRPr="004E0354">
                      <w:rPr>
                        <w:b/>
                        <w:noProof/>
                        <w:color w:val="3366CC"/>
                        <w:sz w:val="26"/>
                        <w:szCs w:val="26"/>
                      </w:rPr>
                      <w:drawing>
                        <wp:inline distT="0" distB="0" distL="0" distR="0" wp14:anchorId="29295E25" wp14:editId="751F9F11">
                          <wp:extent cx="1516380" cy="586740"/>
                          <wp:effectExtent l="0" t="0" r="0" b="0"/>
                          <wp:docPr id="2" name="Picture 1" descr="NEW_ES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ES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86740"/>
                                  </a:xfrm>
                                  <a:prstGeom prst="rect">
                                    <a:avLst/>
                                  </a:prstGeom>
                                  <a:noFill/>
                                  <a:ln>
                                    <a:noFill/>
                                  </a:ln>
                                </pic:spPr>
                              </pic:pic>
                            </a:graphicData>
                          </a:graphic>
                        </wp:inline>
                      </w:drawing>
                    </w:r>
                  </w:p>
                </w:txbxContent>
              </v:textbox>
              <w10:wrap type="square"/>
            </v:shape>
          </w:pict>
        </mc:Fallback>
      </mc:AlternateContent>
    </w:r>
  </w:p>
  <w:p w14:paraId="6B3CE68F" w14:textId="77777777" w:rsidR="003716F7" w:rsidRPr="003716F7" w:rsidRDefault="003716F7" w:rsidP="003716F7">
    <w:pPr>
      <w:rPr>
        <w:b/>
        <w:i/>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67DB40" w14:textId="77777777" w:rsidR="006608B1" w:rsidRDefault="006608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D1B13"/>
    <w:multiLevelType w:val="hybridMultilevel"/>
    <w:tmpl w:val="B0DC7F98"/>
    <w:lvl w:ilvl="0" w:tplc="4844B5D4">
      <w:start w:val="1"/>
      <w:numFmt w:val="bullet"/>
      <w:lvlText w:val=""/>
      <w:lvlJc w:val="left"/>
      <w:pPr>
        <w:tabs>
          <w:tab w:val="num" w:pos="720"/>
        </w:tabs>
        <w:ind w:left="720" w:hanging="360"/>
      </w:pPr>
      <w:rPr>
        <w:rFonts w:ascii="Wingdings" w:hAnsi="Wingdings" w:hint="default"/>
      </w:rPr>
    </w:lvl>
    <w:lvl w:ilvl="1" w:tplc="10307AAA" w:tentative="1">
      <w:start w:val="1"/>
      <w:numFmt w:val="bullet"/>
      <w:lvlText w:val=""/>
      <w:lvlJc w:val="left"/>
      <w:pPr>
        <w:tabs>
          <w:tab w:val="num" w:pos="1440"/>
        </w:tabs>
        <w:ind w:left="1440" w:hanging="360"/>
      </w:pPr>
      <w:rPr>
        <w:rFonts w:ascii="Wingdings" w:hAnsi="Wingdings" w:hint="default"/>
      </w:rPr>
    </w:lvl>
    <w:lvl w:ilvl="2" w:tplc="3EA23C06" w:tentative="1">
      <w:start w:val="1"/>
      <w:numFmt w:val="bullet"/>
      <w:lvlText w:val=""/>
      <w:lvlJc w:val="left"/>
      <w:pPr>
        <w:tabs>
          <w:tab w:val="num" w:pos="2160"/>
        </w:tabs>
        <w:ind w:left="2160" w:hanging="360"/>
      </w:pPr>
      <w:rPr>
        <w:rFonts w:ascii="Wingdings" w:hAnsi="Wingdings" w:hint="default"/>
      </w:rPr>
    </w:lvl>
    <w:lvl w:ilvl="3" w:tplc="1CF0A87E" w:tentative="1">
      <w:start w:val="1"/>
      <w:numFmt w:val="bullet"/>
      <w:lvlText w:val=""/>
      <w:lvlJc w:val="left"/>
      <w:pPr>
        <w:tabs>
          <w:tab w:val="num" w:pos="2880"/>
        </w:tabs>
        <w:ind w:left="2880" w:hanging="360"/>
      </w:pPr>
      <w:rPr>
        <w:rFonts w:ascii="Wingdings" w:hAnsi="Wingdings" w:hint="default"/>
      </w:rPr>
    </w:lvl>
    <w:lvl w:ilvl="4" w:tplc="7F96259E" w:tentative="1">
      <w:start w:val="1"/>
      <w:numFmt w:val="bullet"/>
      <w:lvlText w:val=""/>
      <w:lvlJc w:val="left"/>
      <w:pPr>
        <w:tabs>
          <w:tab w:val="num" w:pos="3600"/>
        </w:tabs>
        <w:ind w:left="3600" w:hanging="360"/>
      </w:pPr>
      <w:rPr>
        <w:rFonts w:ascii="Wingdings" w:hAnsi="Wingdings" w:hint="default"/>
      </w:rPr>
    </w:lvl>
    <w:lvl w:ilvl="5" w:tplc="9F38BA0C" w:tentative="1">
      <w:start w:val="1"/>
      <w:numFmt w:val="bullet"/>
      <w:lvlText w:val=""/>
      <w:lvlJc w:val="left"/>
      <w:pPr>
        <w:tabs>
          <w:tab w:val="num" w:pos="4320"/>
        </w:tabs>
        <w:ind w:left="4320" w:hanging="360"/>
      </w:pPr>
      <w:rPr>
        <w:rFonts w:ascii="Wingdings" w:hAnsi="Wingdings" w:hint="default"/>
      </w:rPr>
    </w:lvl>
    <w:lvl w:ilvl="6" w:tplc="F33CEE9A" w:tentative="1">
      <w:start w:val="1"/>
      <w:numFmt w:val="bullet"/>
      <w:lvlText w:val=""/>
      <w:lvlJc w:val="left"/>
      <w:pPr>
        <w:tabs>
          <w:tab w:val="num" w:pos="5040"/>
        </w:tabs>
        <w:ind w:left="5040" w:hanging="360"/>
      </w:pPr>
      <w:rPr>
        <w:rFonts w:ascii="Wingdings" w:hAnsi="Wingdings" w:hint="default"/>
      </w:rPr>
    </w:lvl>
    <w:lvl w:ilvl="7" w:tplc="4CE2D30C" w:tentative="1">
      <w:start w:val="1"/>
      <w:numFmt w:val="bullet"/>
      <w:lvlText w:val=""/>
      <w:lvlJc w:val="left"/>
      <w:pPr>
        <w:tabs>
          <w:tab w:val="num" w:pos="5760"/>
        </w:tabs>
        <w:ind w:left="5760" w:hanging="360"/>
      </w:pPr>
      <w:rPr>
        <w:rFonts w:ascii="Wingdings" w:hAnsi="Wingdings" w:hint="default"/>
      </w:rPr>
    </w:lvl>
    <w:lvl w:ilvl="8" w:tplc="3472597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C156C2"/>
    <w:multiLevelType w:val="multilevel"/>
    <w:tmpl w:val="49EE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B4B32"/>
    <w:multiLevelType w:val="multilevel"/>
    <w:tmpl w:val="12080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E57AA6"/>
    <w:multiLevelType w:val="hybridMultilevel"/>
    <w:tmpl w:val="158C0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731C9"/>
    <w:multiLevelType w:val="multilevel"/>
    <w:tmpl w:val="44840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3D4A9D"/>
    <w:multiLevelType w:val="hybridMultilevel"/>
    <w:tmpl w:val="4B98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920267"/>
    <w:multiLevelType w:val="hybridMultilevel"/>
    <w:tmpl w:val="B0AC4ED6"/>
    <w:lvl w:ilvl="0" w:tplc="58FACE3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4F5CFE"/>
    <w:multiLevelType w:val="hybridMultilevel"/>
    <w:tmpl w:val="F190A89E"/>
    <w:lvl w:ilvl="0" w:tplc="EF985492">
      <w:start w:val="1"/>
      <w:numFmt w:val="decimal"/>
      <w:lvlText w:val="%1."/>
      <w:lvlJc w:val="left"/>
      <w:pPr>
        <w:tabs>
          <w:tab w:val="num" w:pos="567"/>
        </w:tabs>
        <w:ind w:left="567" w:hanging="567"/>
      </w:pPr>
      <w:rPr>
        <w:rFonts w:hint="default"/>
      </w:rPr>
    </w:lvl>
    <w:lvl w:ilvl="1" w:tplc="0ED0A046">
      <w:start w:val="1"/>
      <w:numFmt w:val="bullet"/>
      <w:lvlText w:val=""/>
      <w:lvlJc w:val="left"/>
      <w:pPr>
        <w:tabs>
          <w:tab w:val="num" w:pos="1534"/>
        </w:tabs>
        <w:ind w:left="1534" w:hanging="454"/>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DE94632"/>
    <w:multiLevelType w:val="hybridMultilevel"/>
    <w:tmpl w:val="83D4D052"/>
    <w:lvl w:ilvl="0" w:tplc="EF985492">
      <w:start w:val="1"/>
      <w:numFmt w:val="decimal"/>
      <w:lvlText w:val="%1."/>
      <w:lvlJc w:val="left"/>
      <w:pPr>
        <w:tabs>
          <w:tab w:val="num" w:pos="567"/>
        </w:tabs>
        <w:ind w:left="567" w:hanging="567"/>
      </w:pPr>
      <w:rPr>
        <w:rFonts w:hint="default"/>
      </w:rPr>
    </w:lvl>
    <w:lvl w:ilvl="1" w:tplc="9AE24928">
      <w:start w:val="1"/>
      <w:numFmt w:val="bullet"/>
      <w:lvlText w:val=""/>
      <w:lvlJc w:val="left"/>
      <w:pPr>
        <w:tabs>
          <w:tab w:val="num" w:pos="454"/>
        </w:tabs>
        <w:ind w:left="454" w:hanging="454"/>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88A2E95"/>
    <w:multiLevelType w:val="hybridMultilevel"/>
    <w:tmpl w:val="915E6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563D4F"/>
    <w:multiLevelType w:val="hybridMultilevel"/>
    <w:tmpl w:val="628C24A0"/>
    <w:lvl w:ilvl="0" w:tplc="E02A704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006DBB"/>
    <w:multiLevelType w:val="hybridMultilevel"/>
    <w:tmpl w:val="F3242C64"/>
    <w:lvl w:ilvl="0" w:tplc="87845A22">
      <w:start w:val="1"/>
      <w:numFmt w:val="bullet"/>
      <w:lvlText w:val=""/>
      <w:lvlJc w:val="left"/>
      <w:pPr>
        <w:tabs>
          <w:tab w:val="num" w:pos="454"/>
        </w:tabs>
        <w:ind w:left="454" w:hanging="454"/>
      </w:pPr>
      <w:rPr>
        <w:rFonts w:ascii="Symbol" w:hAnsi="Symbol" w:hint="default"/>
        <w:color w:val="auto"/>
      </w:rPr>
    </w:lvl>
    <w:lvl w:ilvl="1" w:tplc="0809000F">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4E4378"/>
    <w:multiLevelType w:val="multilevel"/>
    <w:tmpl w:val="39DC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FC21A6"/>
    <w:multiLevelType w:val="hybridMultilevel"/>
    <w:tmpl w:val="2FF8A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8101BC"/>
    <w:multiLevelType w:val="hybridMultilevel"/>
    <w:tmpl w:val="2D42848E"/>
    <w:lvl w:ilvl="0" w:tplc="B37E749A">
      <w:start w:val="1"/>
      <w:numFmt w:val="bullet"/>
      <w:lvlText w:val=""/>
      <w:lvlJc w:val="left"/>
      <w:pPr>
        <w:tabs>
          <w:tab w:val="num" w:pos="454"/>
        </w:tabs>
        <w:ind w:left="454" w:hanging="45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7F4152"/>
    <w:multiLevelType w:val="multilevel"/>
    <w:tmpl w:val="62A61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356856"/>
    <w:multiLevelType w:val="hybridMultilevel"/>
    <w:tmpl w:val="92A2F834"/>
    <w:lvl w:ilvl="0" w:tplc="E05CD522">
      <w:start w:val="1"/>
      <w:numFmt w:val="bullet"/>
      <w:lvlText w:val=""/>
      <w:lvlJc w:val="left"/>
      <w:pPr>
        <w:tabs>
          <w:tab w:val="num" w:pos="454"/>
        </w:tabs>
        <w:ind w:left="454" w:hanging="454"/>
      </w:pPr>
      <w:rPr>
        <w:rFonts w:ascii="Symbol" w:hAnsi="Symbol" w:hint="default"/>
        <w:color w:val="auto"/>
        <w:sz w:val="22"/>
        <w:szCs w:val="22"/>
      </w:rPr>
    </w:lvl>
    <w:lvl w:ilvl="1" w:tplc="1C32EEF0">
      <w:start w:val="7"/>
      <w:numFmt w:val="decimal"/>
      <w:lvlText w:val="%2."/>
      <w:lvlJc w:val="left"/>
      <w:pPr>
        <w:tabs>
          <w:tab w:val="num" w:pos="454"/>
        </w:tabs>
        <w:ind w:left="454" w:hanging="454"/>
      </w:pPr>
      <w:rPr>
        <w:rFonts w:ascii="Verdana" w:hAnsi="Verdana" w:hint="default"/>
        <w:b w:val="0"/>
        <w:i w:val="0"/>
        <w:color w:val="auto"/>
        <w:sz w:val="26"/>
        <w:szCs w:val="22"/>
      </w:rPr>
    </w:lvl>
    <w:lvl w:ilvl="2" w:tplc="07FEECA8">
      <w:start w:val="1"/>
      <w:numFmt w:val="decimal"/>
      <w:lvlText w:val="%3."/>
      <w:lvlJc w:val="left"/>
      <w:pPr>
        <w:tabs>
          <w:tab w:val="num" w:pos="567"/>
        </w:tabs>
        <w:ind w:left="567" w:hanging="567"/>
      </w:pPr>
      <w:rPr>
        <w:rFonts w:ascii="Verdana" w:hAnsi="Verdana" w:hint="default"/>
        <w:b w:val="0"/>
        <w:i w:val="0"/>
        <w:color w:val="auto"/>
        <w:sz w:val="24"/>
        <w:szCs w:val="22"/>
      </w:rPr>
    </w:lvl>
    <w:lvl w:ilvl="3" w:tplc="B40CCB82">
      <w:start w:val="8"/>
      <w:numFmt w:val="decimal"/>
      <w:lvlText w:val="%4."/>
      <w:lvlJc w:val="left"/>
      <w:pPr>
        <w:tabs>
          <w:tab w:val="num" w:pos="454"/>
        </w:tabs>
        <w:ind w:left="454" w:hanging="454"/>
      </w:pPr>
      <w:rPr>
        <w:rFonts w:ascii="Verdana" w:hAnsi="Verdana" w:hint="default"/>
        <w:b w:val="0"/>
        <w:i w:val="0"/>
        <w:color w:val="auto"/>
        <w:sz w:val="26"/>
        <w:szCs w:val="22"/>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514FCD"/>
    <w:multiLevelType w:val="multilevel"/>
    <w:tmpl w:val="8154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712B5A"/>
    <w:multiLevelType w:val="multilevel"/>
    <w:tmpl w:val="7B9E0318"/>
    <w:lvl w:ilvl="0">
      <w:start w:val="1"/>
      <w:numFmt w:val="bullet"/>
      <w:lvlText w:val=""/>
      <w:lvlJc w:val="left"/>
      <w:pPr>
        <w:tabs>
          <w:tab w:val="num" w:pos="454"/>
        </w:tabs>
        <w:ind w:left="454" w:hanging="454"/>
      </w:pPr>
      <w:rPr>
        <w:rFonts w:ascii="Symbol" w:hAnsi="Symbol" w:hint="default"/>
        <w:color w:val="auto"/>
        <w:sz w:val="22"/>
        <w:szCs w:val="22"/>
      </w:rPr>
    </w:lvl>
    <w:lvl w:ilvl="1">
      <w:start w:val="7"/>
      <w:numFmt w:val="decimal"/>
      <w:lvlText w:val="%2."/>
      <w:lvlJc w:val="left"/>
      <w:pPr>
        <w:tabs>
          <w:tab w:val="num" w:pos="454"/>
        </w:tabs>
        <w:ind w:left="454" w:hanging="454"/>
      </w:pPr>
      <w:rPr>
        <w:rFonts w:ascii="Verdana" w:hAnsi="Verdana" w:hint="default"/>
        <w:b w:val="0"/>
        <w:i w:val="0"/>
        <w:color w:val="auto"/>
        <w:sz w:val="26"/>
        <w:szCs w:val="22"/>
      </w:rPr>
    </w:lvl>
    <w:lvl w:ilvl="2">
      <w:start w:val="1"/>
      <w:numFmt w:val="decimal"/>
      <w:lvlText w:val="%3."/>
      <w:lvlJc w:val="left"/>
      <w:pPr>
        <w:tabs>
          <w:tab w:val="num" w:pos="2160"/>
        </w:tabs>
        <w:ind w:left="2160" w:hanging="360"/>
      </w:pPr>
      <w:rPr>
        <w:rFonts w:hint="default"/>
        <w:color w:val="auto"/>
        <w:sz w:val="22"/>
        <w:szCs w:val="22"/>
      </w:rPr>
    </w:lvl>
    <w:lvl w:ilvl="3">
      <w:start w:val="8"/>
      <w:numFmt w:val="decimal"/>
      <w:lvlText w:val="%4."/>
      <w:lvlJc w:val="left"/>
      <w:pPr>
        <w:tabs>
          <w:tab w:val="num" w:pos="454"/>
        </w:tabs>
        <w:ind w:left="454" w:hanging="454"/>
      </w:pPr>
      <w:rPr>
        <w:rFonts w:ascii="Verdana" w:hAnsi="Verdana" w:hint="default"/>
        <w:b w:val="0"/>
        <w:i w:val="0"/>
        <w:color w:val="auto"/>
        <w:sz w:val="26"/>
        <w:szCs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565BAD"/>
    <w:multiLevelType w:val="multilevel"/>
    <w:tmpl w:val="9058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AE7315"/>
    <w:multiLevelType w:val="multilevel"/>
    <w:tmpl w:val="91304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177F0E"/>
    <w:multiLevelType w:val="hybridMultilevel"/>
    <w:tmpl w:val="3774B1C0"/>
    <w:lvl w:ilvl="0" w:tplc="D0527602">
      <w:start w:val="1"/>
      <w:numFmt w:val="decimal"/>
      <w:lvlText w:val="%1."/>
      <w:lvlJc w:val="left"/>
      <w:pPr>
        <w:tabs>
          <w:tab w:val="num" w:pos="567"/>
        </w:tabs>
        <w:ind w:left="567" w:hanging="567"/>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9F18D1"/>
    <w:multiLevelType w:val="multilevel"/>
    <w:tmpl w:val="97FE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301CBA"/>
    <w:multiLevelType w:val="hybridMultilevel"/>
    <w:tmpl w:val="989C10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15104A"/>
    <w:multiLevelType w:val="multilevel"/>
    <w:tmpl w:val="2D66F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DE4961"/>
    <w:multiLevelType w:val="multilevel"/>
    <w:tmpl w:val="C7662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F93E9F"/>
    <w:multiLevelType w:val="multilevel"/>
    <w:tmpl w:val="53929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6247717">
    <w:abstractNumId w:val="16"/>
  </w:num>
  <w:num w:numId="2" w16cid:durableId="1632595668">
    <w:abstractNumId w:val="0"/>
  </w:num>
  <w:num w:numId="3" w16cid:durableId="635643366">
    <w:abstractNumId w:val="18"/>
  </w:num>
  <w:num w:numId="4" w16cid:durableId="326635783">
    <w:abstractNumId w:val="26"/>
  </w:num>
  <w:num w:numId="5" w16cid:durableId="881212214">
    <w:abstractNumId w:val="21"/>
  </w:num>
  <w:num w:numId="6" w16cid:durableId="1441757116">
    <w:abstractNumId w:val="7"/>
  </w:num>
  <w:num w:numId="7" w16cid:durableId="782723837">
    <w:abstractNumId w:val="8"/>
  </w:num>
  <w:num w:numId="8" w16cid:durableId="789543917">
    <w:abstractNumId w:val="2"/>
  </w:num>
  <w:num w:numId="9" w16cid:durableId="348145368">
    <w:abstractNumId w:val="25"/>
  </w:num>
  <w:num w:numId="10" w16cid:durableId="1598058764">
    <w:abstractNumId w:val="4"/>
  </w:num>
  <w:num w:numId="11" w16cid:durableId="908074344">
    <w:abstractNumId w:val="17"/>
  </w:num>
  <w:num w:numId="12" w16cid:durableId="348602999">
    <w:abstractNumId w:val="12"/>
  </w:num>
  <w:num w:numId="13" w16cid:durableId="1514294366">
    <w:abstractNumId w:val="20"/>
  </w:num>
  <w:num w:numId="14" w16cid:durableId="1314022793">
    <w:abstractNumId w:val="22"/>
  </w:num>
  <w:num w:numId="15" w16cid:durableId="1299266787">
    <w:abstractNumId w:val="1"/>
  </w:num>
  <w:num w:numId="16" w16cid:durableId="1844467162">
    <w:abstractNumId w:val="24"/>
  </w:num>
  <w:num w:numId="17" w16cid:durableId="1179545590">
    <w:abstractNumId w:val="19"/>
  </w:num>
  <w:num w:numId="18" w16cid:durableId="963120857">
    <w:abstractNumId w:val="10"/>
  </w:num>
  <w:num w:numId="19" w16cid:durableId="1854879896">
    <w:abstractNumId w:val="6"/>
  </w:num>
  <w:num w:numId="20" w16cid:durableId="58287047">
    <w:abstractNumId w:val="14"/>
  </w:num>
  <w:num w:numId="21" w16cid:durableId="1826507631">
    <w:abstractNumId w:val="11"/>
  </w:num>
  <w:num w:numId="22" w16cid:durableId="1868133850">
    <w:abstractNumId w:val="23"/>
  </w:num>
  <w:num w:numId="23" w16cid:durableId="717321682">
    <w:abstractNumId w:val="15"/>
  </w:num>
  <w:num w:numId="24" w16cid:durableId="1451390723">
    <w:abstractNumId w:val="3"/>
  </w:num>
  <w:num w:numId="25" w16cid:durableId="1954167378">
    <w:abstractNumId w:val="13"/>
  </w:num>
  <w:num w:numId="26" w16cid:durableId="507259446">
    <w:abstractNumId w:val="5"/>
  </w:num>
  <w:num w:numId="27" w16cid:durableId="6927282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3D5"/>
    <w:rsid w:val="00003602"/>
    <w:rsid w:val="00026A41"/>
    <w:rsid w:val="00044F66"/>
    <w:rsid w:val="00045976"/>
    <w:rsid w:val="000532BA"/>
    <w:rsid w:val="00055869"/>
    <w:rsid w:val="00061DA7"/>
    <w:rsid w:val="00062645"/>
    <w:rsid w:val="00080342"/>
    <w:rsid w:val="0008289E"/>
    <w:rsid w:val="0008308C"/>
    <w:rsid w:val="0009744E"/>
    <w:rsid w:val="000A1925"/>
    <w:rsid w:val="000C2E45"/>
    <w:rsid w:val="000E46FB"/>
    <w:rsid w:val="000E652C"/>
    <w:rsid w:val="000F67C2"/>
    <w:rsid w:val="001170DA"/>
    <w:rsid w:val="00135C91"/>
    <w:rsid w:val="00145EB5"/>
    <w:rsid w:val="00150FC8"/>
    <w:rsid w:val="0016258B"/>
    <w:rsid w:val="00186EDD"/>
    <w:rsid w:val="001C087B"/>
    <w:rsid w:val="001E3BC6"/>
    <w:rsid w:val="001E7548"/>
    <w:rsid w:val="001F042E"/>
    <w:rsid w:val="002326CF"/>
    <w:rsid w:val="0023328F"/>
    <w:rsid w:val="00243EC3"/>
    <w:rsid w:val="00247E29"/>
    <w:rsid w:val="00250E72"/>
    <w:rsid w:val="0025172F"/>
    <w:rsid w:val="00267DDA"/>
    <w:rsid w:val="002B03E5"/>
    <w:rsid w:val="002B4C57"/>
    <w:rsid w:val="002D36D4"/>
    <w:rsid w:val="002E1466"/>
    <w:rsid w:val="00332FB2"/>
    <w:rsid w:val="0034084B"/>
    <w:rsid w:val="00344987"/>
    <w:rsid w:val="00365236"/>
    <w:rsid w:val="00365DE2"/>
    <w:rsid w:val="003716F7"/>
    <w:rsid w:val="00396E1C"/>
    <w:rsid w:val="00397EC0"/>
    <w:rsid w:val="003B18E0"/>
    <w:rsid w:val="003C007A"/>
    <w:rsid w:val="003C42BE"/>
    <w:rsid w:val="003C55D8"/>
    <w:rsid w:val="003C7FAF"/>
    <w:rsid w:val="003D0665"/>
    <w:rsid w:val="003D112B"/>
    <w:rsid w:val="003D29AD"/>
    <w:rsid w:val="003E6A64"/>
    <w:rsid w:val="003F0ED6"/>
    <w:rsid w:val="003F4028"/>
    <w:rsid w:val="003F7085"/>
    <w:rsid w:val="0041379E"/>
    <w:rsid w:val="00414F73"/>
    <w:rsid w:val="00465683"/>
    <w:rsid w:val="00474A7B"/>
    <w:rsid w:val="00476533"/>
    <w:rsid w:val="00486FAF"/>
    <w:rsid w:val="004A3B69"/>
    <w:rsid w:val="004B246B"/>
    <w:rsid w:val="004C7BEA"/>
    <w:rsid w:val="00501E8B"/>
    <w:rsid w:val="00511725"/>
    <w:rsid w:val="0052624D"/>
    <w:rsid w:val="00550B96"/>
    <w:rsid w:val="0056669E"/>
    <w:rsid w:val="005814A8"/>
    <w:rsid w:val="005A6480"/>
    <w:rsid w:val="005B24EC"/>
    <w:rsid w:val="005C2E0C"/>
    <w:rsid w:val="005E535D"/>
    <w:rsid w:val="00621240"/>
    <w:rsid w:val="00631646"/>
    <w:rsid w:val="00660215"/>
    <w:rsid w:val="006608B1"/>
    <w:rsid w:val="00664DA4"/>
    <w:rsid w:val="00684AD6"/>
    <w:rsid w:val="00684F62"/>
    <w:rsid w:val="006B0B52"/>
    <w:rsid w:val="006B3454"/>
    <w:rsid w:val="006D2DD7"/>
    <w:rsid w:val="006E35D3"/>
    <w:rsid w:val="00704772"/>
    <w:rsid w:val="0070517B"/>
    <w:rsid w:val="00710C7D"/>
    <w:rsid w:val="00731D73"/>
    <w:rsid w:val="00733044"/>
    <w:rsid w:val="007763C4"/>
    <w:rsid w:val="007B32D3"/>
    <w:rsid w:val="007C588D"/>
    <w:rsid w:val="007E0146"/>
    <w:rsid w:val="0080198A"/>
    <w:rsid w:val="008036C2"/>
    <w:rsid w:val="00807698"/>
    <w:rsid w:val="00820ADE"/>
    <w:rsid w:val="00822988"/>
    <w:rsid w:val="00825404"/>
    <w:rsid w:val="00864FE5"/>
    <w:rsid w:val="00874282"/>
    <w:rsid w:val="00874793"/>
    <w:rsid w:val="008802FC"/>
    <w:rsid w:val="00887328"/>
    <w:rsid w:val="008877B9"/>
    <w:rsid w:val="00892C43"/>
    <w:rsid w:val="008C445D"/>
    <w:rsid w:val="008C699C"/>
    <w:rsid w:val="008D49A8"/>
    <w:rsid w:val="008E11F1"/>
    <w:rsid w:val="008F03D5"/>
    <w:rsid w:val="009225A8"/>
    <w:rsid w:val="00922EF2"/>
    <w:rsid w:val="009337AD"/>
    <w:rsid w:val="00936189"/>
    <w:rsid w:val="00936979"/>
    <w:rsid w:val="00952129"/>
    <w:rsid w:val="00956047"/>
    <w:rsid w:val="0095666F"/>
    <w:rsid w:val="00986D50"/>
    <w:rsid w:val="009C05DB"/>
    <w:rsid w:val="009E67A3"/>
    <w:rsid w:val="009F06BE"/>
    <w:rsid w:val="00A16504"/>
    <w:rsid w:val="00A17807"/>
    <w:rsid w:val="00A362A3"/>
    <w:rsid w:val="00A41E3C"/>
    <w:rsid w:val="00A43EBE"/>
    <w:rsid w:val="00A4760E"/>
    <w:rsid w:val="00A70B73"/>
    <w:rsid w:val="00A900C7"/>
    <w:rsid w:val="00AA5EE7"/>
    <w:rsid w:val="00AB2853"/>
    <w:rsid w:val="00AC4991"/>
    <w:rsid w:val="00AD4069"/>
    <w:rsid w:val="00AD4D08"/>
    <w:rsid w:val="00AD5021"/>
    <w:rsid w:val="00AF19D5"/>
    <w:rsid w:val="00B071AE"/>
    <w:rsid w:val="00B13DE0"/>
    <w:rsid w:val="00B22DA5"/>
    <w:rsid w:val="00B36B09"/>
    <w:rsid w:val="00B61DC5"/>
    <w:rsid w:val="00B7000D"/>
    <w:rsid w:val="00B7335D"/>
    <w:rsid w:val="00B95438"/>
    <w:rsid w:val="00B96DFC"/>
    <w:rsid w:val="00BA1F6E"/>
    <w:rsid w:val="00BA5CF8"/>
    <w:rsid w:val="00BB0877"/>
    <w:rsid w:val="00BB3603"/>
    <w:rsid w:val="00BB5779"/>
    <w:rsid w:val="00BE0C20"/>
    <w:rsid w:val="00C01FD5"/>
    <w:rsid w:val="00C25B61"/>
    <w:rsid w:val="00C476E5"/>
    <w:rsid w:val="00C64984"/>
    <w:rsid w:val="00C70555"/>
    <w:rsid w:val="00C76749"/>
    <w:rsid w:val="00C857A1"/>
    <w:rsid w:val="00CA0257"/>
    <w:rsid w:val="00CB4EB0"/>
    <w:rsid w:val="00CD5AA7"/>
    <w:rsid w:val="00CD6B49"/>
    <w:rsid w:val="00CF2ABD"/>
    <w:rsid w:val="00CF6724"/>
    <w:rsid w:val="00D00E21"/>
    <w:rsid w:val="00D05900"/>
    <w:rsid w:val="00D05C3F"/>
    <w:rsid w:val="00D05C95"/>
    <w:rsid w:val="00D16966"/>
    <w:rsid w:val="00D210A8"/>
    <w:rsid w:val="00D343C2"/>
    <w:rsid w:val="00D34784"/>
    <w:rsid w:val="00D417A6"/>
    <w:rsid w:val="00D461E9"/>
    <w:rsid w:val="00D5123E"/>
    <w:rsid w:val="00D71732"/>
    <w:rsid w:val="00D9674B"/>
    <w:rsid w:val="00DF3B45"/>
    <w:rsid w:val="00E04600"/>
    <w:rsid w:val="00E12CEF"/>
    <w:rsid w:val="00E2788C"/>
    <w:rsid w:val="00E37C6D"/>
    <w:rsid w:val="00E51FE5"/>
    <w:rsid w:val="00E64EF0"/>
    <w:rsid w:val="00E777A3"/>
    <w:rsid w:val="00E87E87"/>
    <w:rsid w:val="00ED7C96"/>
    <w:rsid w:val="00EE1EBD"/>
    <w:rsid w:val="00EE364D"/>
    <w:rsid w:val="00EF72F5"/>
    <w:rsid w:val="00F345BE"/>
    <w:rsid w:val="00F362E7"/>
    <w:rsid w:val="00F92E27"/>
    <w:rsid w:val="00FA0258"/>
    <w:rsid w:val="00FA0EA0"/>
    <w:rsid w:val="00FA1C38"/>
    <w:rsid w:val="00FB411D"/>
    <w:rsid w:val="00FC266B"/>
    <w:rsid w:val="00FC2677"/>
    <w:rsid w:val="00FC3C0E"/>
    <w:rsid w:val="00FD063B"/>
    <w:rsid w:val="00FD4AA7"/>
    <w:rsid w:val="00FE4F80"/>
    <w:rsid w:val="00FF1365"/>
    <w:rsid w:val="00FF6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7CC8A0"/>
  <w15:chartTrackingRefBased/>
  <w15:docId w15:val="{78A0F764-A035-400B-AC98-F8129DBE4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2"/>
      <w:szCs w:val="22"/>
    </w:rPr>
  </w:style>
  <w:style w:type="paragraph" w:styleId="Heading2">
    <w:name w:val="heading 2"/>
    <w:basedOn w:val="Normal"/>
    <w:next w:val="Normal"/>
    <w:qFormat/>
    <w:rsid w:val="004A3B6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03D5"/>
    <w:pPr>
      <w:tabs>
        <w:tab w:val="center" w:pos="4153"/>
        <w:tab w:val="right" w:pos="8306"/>
      </w:tabs>
    </w:pPr>
  </w:style>
  <w:style w:type="paragraph" w:styleId="Footer">
    <w:name w:val="footer"/>
    <w:basedOn w:val="Normal"/>
    <w:link w:val="FooterChar"/>
    <w:uiPriority w:val="99"/>
    <w:rsid w:val="008F03D5"/>
    <w:pPr>
      <w:tabs>
        <w:tab w:val="center" w:pos="4153"/>
        <w:tab w:val="right" w:pos="8306"/>
      </w:tabs>
    </w:pPr>
  </w:style>
  <w:style w:type="paragraph" w:styleId="BalloonText">
    <w:name w:val="Balloon Text"/>
    <w:basedOn w:val="Normal"/>
    <w:semiHidden/>
    <w:rsid w:val="008F03D5"/>
    <w:rPr>
      <w:rFonts w:ascii="Tahoma" w:hAnsi="Tahoma" w:cs="Tahoma"/>
      <w:sz w:val="16"/>
      <w:szCs w:val="16"/>
    </w:rPr>
  </w:style>
  <w:style w:type="table" w:styleId="TableGrid">
    <w:name w:val="Table Grid"/>
    <w:basedOn w:val="TableNormal"/>
    <w:rsid w:val="00CF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F2ABD"/>
    <w:rPr>
      <w:color w:val="0000FF"/>
      <w:u w:val="single"/>
    </w:rPr>
  </w:style>
  <w:style w:type="paragraph" w:customStyle="1" w:styleId="head2pagetitle">
    <w:name w:val="head2_pagetitle"/>
    <w:basedOn w:val="Normal"/>
    <w:rsid w:val="004A3B69"/>
    <w:pPr>
      <w:spacing w:before="100" w:beforeAutospacing="1" w:after="100" w:afterAutospacing="1"/>
    </w:pPr>
    <w:rPr>
      <w:rFonts w:ascii="Times New Roman" w:hAnsi="Times New Roman"/>
      <w:color w:val="000000"/>
      <w:sz w:val="24"/>
      <w:szCs w:val="24"/>
    </w:rPr>
  </w:style>
  <w:style w:type="paragraph" w:styleId="NormalWeb">
    <w:name w:val="Normal (Web)"/>
    <w:basedOn w:val="Normal"/>
    <w:rsid w:val="004A3B69"/>
    <w:pPr>
      <w:spacing w:before="100" w:beforeAutospacing="1" w:after="100" w:afterAutospacing="1"/>
    </w:pPr>
    <w:rPr>
      <w:rFonts w:ascii="Times New Roman" w:hAnsi="Times New Roman"/>
      <w:color w:val="000000"/>
      <w:sz w:val="24"/>
      <w:szCs w:val="24"/>
    </w:rPr>
  </w:style>
  <w:style w:type="character" w:customStyle="1" w:styleId="bold1">
    <w:name w:val="bold1"/>
    <w:rsid w:val="004A3B69"/>
    <w:rPr>
      <w:b/>
      <w:bCs/>
    </w:rPr>
  </w:style>
  <w:style w:type="character" w:customStyle="1" w:styleId="citation1">
    <w:name w:val="citation1"/>
    <w:rsid w:val="004A3B69"/>
    <w:rPr>
      <w:rFonts w:ascii="Arial" w:hAnsi="Arial" w:cs="Arial" w:hint="default"/>
      <w:sz w:val="19"/>
      <w:szCs w:val="19"/>
    </w:rPr>
  </w:style>
  <w:style w:type="paragraph" w:customStyle="1" w:styleId="Default">
    <w:name w:val="Default"/>
    <w:rsid w:val="003716F7"/>
    <w:pPr>
      <w:autoSpaceDE w:val="0"/>
      <w:autoSpaceDN w:val="0"/>
      <w:adjustRightInd w:val="0"/>
    </w:pPr>
    <w:rPr>
      <w:rFonts w:ascii="Verdana" w:hAnsi="Verdana" w:cs="Verdana"/>
      <w:color w:val="000000"/>
      <w:sz w:val="24"/>
      <w:szCs w:val="24"/>
    </w:rPr>
  </w:style>
  <w:style w:type="character" w:styleId="Strong">
    <w:name w:val="Strong"/>
    <w:qFormat/>
    <w:rsid w:val="003716F7"/>
    <w:rPr>
      <w:b/>
      <w:bCs/>
    </w:rPr>
  </w:style>
  <w:style w:type="character" w:customStyle="1" w:styleId="FooterChar">
    <w:name w:val="Footer Char"/>
    <w:link w:val="Footer"/>
    <w:uiPriority w:val="99"/>
    <w:rsid w:val="00D461E9"/>
    <w:rPr>
      <w:rFonts w:ascii="Verdana" w:hAnsi="Verdana"/>
      <w:sz w:val="22"/>
      <w:szCs w:val="22"/>
    </w:rPr>
  </w:style>
  <w:style w:type="paragraph" w:styleId="ListParagraph">
    <w:name w:val="List Paragraph"/>
    <w:basedOn w:val="Normal"/>
    <w:uiPriority w:val="34"/>
    <w:qFormat/>
    <w:rsid w:val="005B24EC"/>
    <w:pPr>
      <w:ind w:left="720"/>
      <w:contextualSpacing/>
    </w:pPr>
  </w:style>
  <w:style w:type="character" w:styleId="UnresolvedMention">
    <w:name w:val="Unresolved Mention"/>
    <w:basedOn w:val="DefaultParagraphFont"/>
    <w:uiPriority w:val="99"/>
    <w:semiHidden/>
    <w:unhideWhenUsed/>
    <w:rsid w:val="007C588D"/>
    <w:rPr>
      <w:color w:val="605E5C"/>
      <w:shd w:val="clear" w:color="auto" w:fill="E1DFDD"/>
    </w:rPr>
  </w:style>
  <w:style w:type="paragraph" w:styleId="FootnoteText">
    <w:name w:val="footnote text"/>
    <w:basedOn w:val="Normal"/>
    <w:link w:val="FootnoteTextChar"/>
    <w:rsid w:val="00704772"/>
    <w:rPr>
      <w:sz w:val="20"/>
      <w:szCs w:val="20"/>
    </w:rPr>
  </w:style>
  <w:style w:type="character" w:customStyle="1" w:styleId="FootnoteTextChar">
    <w:name w:val="Footnote Text Char"/>
    <w:basedOn w:val="DefaultParagraphFont"/>
    <w:link w:val="FootnoteText"/>
    <w:rsid w:val="00704772"/>
    <w:rPr>
      <w:rFonts w:ascii="Verdana" w:hAnsi="Verdana"/>
    </w:rPr>
  </w:style>
  <w:style w:type="character" w:styleId="FootnoteReference">
    <w:name w:val="footnote reference"/>
    <w:basedOn w:val="DefaultParagraphFont"/>
    <w:rsid w:val="007047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3231940">
      <w:bodyDiv w:val="1"/>
      <w:marLeft w:val="0"/>
      <w:marRight w:val="0"/>
      <w:marTop w:val="0"/>
      <w:marBottom w:val="0"/>
      <w:divBdr>
        <w:top w:val="none" w:sz="0" w:space="0" w:color="auto"/>
        <w:left w:val="none" w:sz="0" w:space="0" w:color="auto"/>
        <w:bottom w:val="none" w:sz="0" w:space="0" w:color="auto"/>
        <w:right w:val="none" w:sz="0" w:space="0" w:color="auto"/>
      </w:divBdr>
    </w:div>
    <w:div w:id="1170751864">
      <w:bodyDiv w:val="1"/>
      <w:marLeft w:val="0"/>
      <w:marRight w:val="0"/>
      <w:marTop w:val="0"/>
      <w:marBottom w:val="0"/>
      <w:divBdr>
        <w:top w:val="none" w:sz="0" w:space="0" w:color="auto"/>
        <w:left w:val="none" w:sz="0" w:space="0" w:color="auto"/>
        <w:bottom w:val="none" w:sz="0" w:space="0" w:color="auto"/>
        <w:right w:val="none" w:sz="0" w:space="0" w:color="auto"/>
      </w:divBdr>
    </w:div>
    <w:div w:id="122509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valuationsupportscotland.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valuationsupportscotland.org.uk"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cvo.scot/research/scottish-third-sector-tracker?utm_source=scvo&amp;utm_medium=website&amp;utm_campaign=sear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https://esscotland.sharepoint.com/sites/ESSSharedDocuments/Shared%20Documents/Work%20with%20ORGS/S/SCVO/9.%20Third%20Sector%20Tracker%2021-25/data%20on%20funding%20conditions%20Mar%2024.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Verdana" panose="020B0604030504040204" pitchFamily="34" charset="0"/>
                <a:ea typeface="Verdana" panose="020B0604030504040204" pitchFamily="34" charset="0"/>
                <a:cs typeface="+mn-cs"/>
              </a:defRPr>
            </a:pPr>
            <a:r>
              <a:rPr lang="en-GB" sz="1200" b="1">
                <a:solidFill>
                  <a:sysClr val="windowText" lastClr="000000"/>
                </a:solidFill>
                <a:latin typeface="Verdana" panose="020B0604030504040204" pitchFamily="34" charset="0"/>
                <a:ea typeface="Verdana" panose="020B0604030504040204" pitchFamily="34" charset="0"/>
              </a:rPr>
              <a:t>Broad coding</a:t>
            </a:r>
            <a:r>
              <a:rPr lang="en-GB" sz="1200" b="1" baseline="0">
                <a:solidFill>
                  <a:sysClr val="windowText" lastClr="000000"/>
                </a:solidFill>
                <a:latin typeface="Verdana" panose="020B0604030504040204" pitchFamily="34" charset="0"/>
                <a:ea typeface="Verdana" panose="020B0604030504040204" pitchFamily="34" charset="0"/>
              </a:rPr>
              <a:t> of responses (n=105)</a:t>
            </a:r>
            <a:endParaRPr lang="en-GB" sz="1200" b="1">
              <a:solidFill>
                <a:sysClr val="windowText" lastClr="000000"/>
              </a:solidFill>
              <a:latin typeface="Verdana" panose="020B0604030504040204" pitchFamily="34" charset="0"/>
              <a:ea typeface="Verdana" panose="020B0604030504040204" pitchFamily="34" charset="0"/>
            </a:endParaRPr>
          </a:p>
        </c:rich>
      </c:tx>
      <c:layout>
        <c:manualLayout>
          <c:xMode val="edge"/>
          <c:yMode val="edge"/>
          <c:x val="0.40256146369353918"/>
          <c:y val="1.8796992481203006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Verdana" panose="020B0604030504040204" pitchFamily="34" charset="0"/>
              <a:ea typeface="Verdana" panose="020B0604030504040204" pitchFamily="34" charset="0"/>
              <a:cs typeface="+mn-cs"/>
            </a:defRPr>
          </a:pPr>
          <a:endParaRPr lang="en-US"/>
        </a:p>
      </c:txPr>
    </c:title>
    <c:autoTitleDeleted val="0"/>
    <c:plotArea>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3039-4500-BDBC-1AD3840BCE43}"/>
              </c:ext>
            </c:extLst>
          </c:dPt>
          <c:dPt>
            <c:idx val="1"/>
            <c:bubble3D val="0"/>
            <c:spPr>
              <a:solidFill>
                <a:schemeClr val="accent2"/>
              </a:solidFill>
              <a:ln>
                <a:noFill/>
              </a:ln>
              <a:effectLst/>
            </c:spPr>
            <c:extLst>
              <c:ext xmlns:c16="http://schemas.microsoft.com/office/drawing/2014/chart" uri="{C3380CC4-5D6E-409C-BE32-E72D297353CC}">
                <c16:uniqueId val="{00000003-3039-4500-BDBC-1AD3840BCE43}"/>
              </c:ext>
            </c:extLst>
          </c:dPt>
          <c:dPt>
            <c:idx val="2"/>
            <c:bubble3D val="0"/>
            <c:spPr>
              <a:solidFill>
                <a:schemeClr val="accent3"/>
              </a:solidFill>
              <a:ln>
                <a:noFill/>
              </a:ln>
              <a:effectLst/>
            </c:spPr>
            <c:extLst>
              <c:ext xmlns:c16="http://schemas.microsoft.com/office/drawing/2014/chart" uri="{C3380CC4-5D6E-409C-BE32-E72D297353CC}">
                <c16:uniqueId val="{00000005-3039-4500-BDBC-1AD3840BCE43}"/>
              </c:ext>
            </c:extLst>
          </c:dPt>
          <c:dPt>
            <c:idx val="3"/>
            <c:bubble3D val="0"/>
            <c:spPr>
              <a:solidFill>
                <a:schemeClr val="accent4"/>
              </a:solidFill>
              <a:ln>
                <a:noFill/>
              </a:ln>
              <a:effectLst/>
            </c:spPr>
            <c:extLst>
              <c:ext xmlns:c16="http://schemas.microsoft.com/office/drawing/2014/chart" uri="{C3380CC4-5D6E-409C-BE32-E72D297353CC}">
                <c16:uniqueId val="{00000007-3039-4500-BDBC-1AD3840BCE43}"/>
              </c:ext>
            </c:extLst>
          </c:dPt>
          <c:dPt>
            <c:idx val="4"/>
            <c:bubble3D val="0"/>
            <c:spPr>
              <a:solidFill>
                <a:schemeClr val="accent5"/>
              </a:solidFill>
              <a:ln>
                <a:noFill/>
              </a:ln>
              <a:effectLst/>
            </c:spPr>
            <c:extLst>
              <c:ext xmlns:c16="http://schemas.microsoft.com/office/drawing/2014/chart" uri="{C3380CC4-5D6E-409C-BE32-E72D297353CC}">
                <c16:uniqueId val="{00000009-3039-4500-BDBC-1AD3840BCE43}"/>
              </c:ext>
            </c:extLst>
          </c:dPt>
          <c:dPt>
            <c:idx val="5"/>
            <c:bubble3D val="0"/>
            <c:spPr>
              <a:solidFill>
                <a:schemeClr val="accent6"/>
              </a:solidFill>
              <a:ln>
                <a:noFill/>
              </a:ln>
              <a:effectLst/>
            </c:spPr>
            <c:extLst>
              <c:ext xmlns:c16="http://schemas.microsoft.com/office/drawing/2014/chart" uri="{C3380CC4-5D6E-409C-BE32-E72D297353CC}">
                <c16:uniqueId val="{0000000B-3039-4500-BDBC-1AD3840BCE43}"/>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0D-3039-4500-BDBC-1AD3840BCE43}"/>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0F-3039-4500-BDBC-1AD3840BCE43}"/>
              </c:ext>
            </c:extLst>
          </c:dPt>
          <c:dLbls>
            <c:dLbl>
              <c:idx val="0"/>
              <c:layout>
                <c:manualLayout>
                  <c:x val="3.0676967265884217E-2"/>
                  <c:y val="8.6298916582795565E-2"/>
                </c:manualLayout>
              </c:layout>
              <c:tx>
                <c:rich>
                  <a:bodyPr/>
                  <a:lstStyle/>
                  <a:p>
                    <a:r>
                      <a:rPr lang="en-US" baseline="0"/>
                      <a:t>Unspecific comments, </a:t>
                    </a:r>
                    <a:fld id="{E8388838-2249-410F-8E87-84CCA5E8F827}" type="VALUE">
                      <a:rPr lang="en-US"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039-4500-BDBC-1AD3840BCE43}"/>
                </c:ext>
              </c:extLst>
            </c:dLbl>
            <c:dLbl>
              <c:idx val="1"/>
              <c:layout>
                <c:manualLayout>
                  <c:x val="8.5318404667684117E-2"/>
                  <c:y val="-0.11568024391687881"/>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039-4500-BDBC-1AD3840BCE43}"/>
                </c:ext>
              </c:extLst>
            </c:dLbl>
            <c:dLbl>
              <c:idx val="3"/>
              <c:layout>
                <c:manualLayout>
                  <c:x val="-4.6025490381455321E-2"/>
                  <c:y val="-4.0074299923036003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039-4500-BDBC-1AD3840BCE4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Verdana" panose="020B0604030504040204" pitchFamily="34" charset="0"/>
                    <a:ea typeface="Verdana" panose="020B0604030504040204" pitchFamily="34" charset="0"/>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'[data on funding conditions Mar 24.xlsx]Graphs'!$A$1:$A$8</c:f>
              <c:strCache>
                <c:ptCount val="8"/>
                <c:pt idx="0">
                  <c:v>Unspecific "more" demanding</c:v>
                </c:pt>
                <c:pt idx="1">
                  <c:v>Expected to do more for less</c:v>
                </c:pt>
                <c:pt idx="2">
                  <c:v>Format &amp; frequency of reporting</c:v>
                </c:pt>
                <c:pt idx="3">
                  <c:v>Challenging terms and conditions</c:v>
                </c:pt>
                <c:pt idx="4">
                  <c:v>Greater financial scrutiny</c:v>
                </c:pt>
                <c:pt idx="5">
                  <c:v>Uncertainty about continuation</c:v>
                </c:pt>
                <c:pt idx="6">
                  <c:v>Communication challenges</c:v>
                </c:pt>
                <c:pt idx="7">
                  <c:v>Payment arrangements</c:v>
                </c:pt>
              </c:strCache>
            </c:strRef>
          </c:cat>
          <c:val>
            <c:numRef>
              <c:f>'[data on funding conditions Mar 24.xlsx]Graphs'!$B$1:$B$8</c:f>
              <c:numCache>
                <c:formatCode>General</c:formatCode>
                <c:ptCount val="8"/>
                <c:pt idx="0">
                  <c:v>30</c:v>
                </c:pt>
                <c:pt idx="1">
                  <c:v>24</c:v>
                </c:pt>
                <c:pt idx="2">
                  <c:v>14</c:v>
                </c:pt>
                <c:pt idx="3">
                  <c:v>13</c:v>
                </c:pt>
                <c:pt idx="4">
                  <c:v>10</c:v>
                </c:pt>
                <c:pt idx="5">
                  <c:v>7</c:v>
                </c:pt>
                <c:pt idx="6">
                  <c:v>4</c:v>
                </c:pt>
                <c:pt idx="7">
                  <c:v>3</c:v>
                </c:pt>
              </c:numCache>
            </c:numRef>
          </c:val>
          <c:extLst>
            <c:ext xmlns:c16="http://schemas.microsoft.com/office/drawing/2014/chart" uri="{C3380CC4-5D6E-409C-BE32-E72D297353CC}">
              <c16:uniqueId val="{00000010-3039-4500-BDBC-1AD3840BCE43}"/>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b25be09-04f6-4fff-84a1-5abe9de0c1d8" xsi:nil="true"/>
    <lcf76f155ced4ddcb4097134ff3c332f xmlns="a2de6cab-9b0f-4051-813f-ad45f441e7d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1493113A5D6F4697D7D1EFE86E475F" ma:contentTypeVersion="18" ma:contentTypeDescription="Create a new document." ma:contentTypeScope="" ma:versionID="90103c5b98140d8e1a82b8189f088962">
  <xsd:schema xmlns:xsd="http://www.w3.org/2001/XMLSchema" xmlns:xs="http://www.w3.org/2001/XMLSchema" xmlns:p="http://schemas.microsoft.com/office/2006/metadata/properties" xmlns:ns2="a2de6cab-9b0f-4051-813f-ad45f441e7d4" xmlns:ns3="eb25be09-04f6-4fff-84a1-5abe9de0c1d8" targetNamespace="http://schemas.microsoft.com/office/2006/metadata/properties" ma:root="true" ma:fieldsID="b291042a5efbcb91d21f3eb6324c7056" ns2:_="" ns3:_="">
    <xsd:import namespace="a2de6cab-9b0f-4051-813f-ad45f441e7d4"/>
    <xsd:import namespace="eb25be09-04f6-4fff-84a1-5abe9de0c1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e6cab-9b0f-4051-813f-ad45f441e7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7f3907-a188-4d9e-abf2-14c36a46f6e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25be09-04f6-4fff-84a1-5abe9de0c1d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3dbf1e-beda-4e89-85a6-44c47435c217}" ma:internalName="TaxCatchAll" ma:showField="CatchAllData" ma:web="eb25be09-04f6-4fff-84a1-5abe9de0c1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A387D-41F7-4480-AD07-472D47883755}">
  <ds:schemaRefs>
    <ds:schemaRef ds:uri="http://schemas.microsoft.com/sharepoint/v3/contenttype/forms"/>
  </ds:schemaRefs>
</ds:datastoreItem>
</file>

<file path=customXml/itemProps2.xml><?xml version="1.0" encoding="utf-8"?>
<ds:datastoreItem xmlns:ds="http://schemas.openxmlformats.org/officeDocument/2006/customXml" ds:itemID="{C659BBA5-7693-4E19-B653-01B5B9F455EB}">
  <ds:schemaRefs>
    <ds:schemaRef ds:uri="http://schemas.microsoft.com/office/2006/metadata/properties"/>
    <ds:schemaRef ds:uri="http://schemas.microsoft.com/office/infopath/2007/PartnerControls"/>
    <ds:schemaRef ds:uri="eb25be09-04f6-4fff-84a1-5abe9de0c1d8"/>
    <ds:schemaRef ds:uri="a2de6cab-9b0f-4051-813f-ad45f441e7d4"/>
  </ds:schemaRefs>
</ds:datastoreItem>
</file>

<file path=customXml/itemProps3.xml><?xml version="1.0" encoding="utf-8"?>
<ds:datastoreItem xmlns:ds="http://schemas.openxmlformats.org/officeDocument/2006/customXml" ds:itemID="{87033649-E81D-4030-87E6-2E3F3EF99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e6cab-9b0f-4051-813f-ad45f441e7d4"/>
    <ds:schemaRef ds:uri="eb25be09-04f6-4fff-84a1-5abe9de0c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9EA8C0-47BD-4531-A34C-56F0EEEC1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Evaluation Support Scotland</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dc:description/>
  <cp:lastModifiedBy>Steven</cp:lastModifiedBy>
  <cp:revision>128</cp:revision>
  <cp:lastPrinted>2024-03-25T10:23:00Z</cp:lastPrinted>
  <dcterms:created xsi:type="dcterms:W3CDTF">2024-03-15T14:58:00Z</dcterms:created>
  <dcterms:modified xsi:type="dcterms:W3CDTF">2024-03-26T16:17:00Z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0x010100B51493113A5D6F4697D7D1EFE86E475F</vt:lpwstr>
  </property>
  <property fmtid="{D5CDD505-2E9C-101B-9397-08002B2CF9AE}" pid="3" name="Order">
    <vt:r8>790200</vt:r8>
  </property>
  <property fmtid="{D5CDD505-2E9C-101B-9397-08002B2CF9AE}" pid="4" name="MediaServiceImageTags">
    <vt:lpwstr/>
  </property>
</Properties>
</file>